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1A4188" w:rsidRDefault="00000000">
      <w:pPr>
        <w:rPr>
          <w:highlight w:val="yellow"/>
        </w:rPr>
      </w:pPr>
      <w:r>
        <w:rPr>
          <w:highlight w:val="yellow"/>
        </w:rPr>
        <w:t>XXXXXXX, 2026</w:t>
      </w:r>
    </w:p>
    <w:p w14:paraId="00000002" w14:textId="77777777" w:rsidR="001A4188" w:rsidRDefault="001A4188"/>
    <w:p w14:paraId="00000003" w14:textId="77777777" w:rsidR="001A4188" w:rsidRDefault="00000000">
      <w:r>
        <w:t>By Electronic Submission</w:t>
      </w:r>
    </w:p>
    <w:p w14:paraId="00000004" w14:textId="77777777" w:rsidR="001A4188" w:rsidRDefault="00000000">
      <w:r>
        <w:t>Regulations Division</w:t>
      </w:r>
    </w:p>
    <w:p w14:paraId="00000005" w14:textId="77777777" w:rsidR="001A4188" w:rsidRDefault="00000000">
      <w:r>
        <w:t>Office of General Counsel</w:t>
      </w:r>
    </w:p>
    <w:p w14:paraId="00000006" w14:textId="77777777" w:rsidR="001A4188" w:rsidRDefault="00000000">
      <w:r>
        <w:t>United States Department of</w:t>
      </w:r>
    </w:p>
    <w:p w14:paraId="00000007" w14:textId="77777777" w:rsidR="001A4188" w:rsidRDefault="00000000">
      <w:r>
        <w:t>Housing and Urban Development</w:t>
      </w:r>
    </w:p>
    <w:p w14:paraId="00000008" w14:textId="77777777" w:rsidR="001A4188" w:rsidRDefault="00000000">
      <w:r>
        <w:t>451 7th Street SW</w:t>
      </w:r>
    </w:p>
    <w:p w14:paraId="00000009" w14:textId="77777777" w:rsidR="001A4188" w:rsidRDefault="00000000">
      <w:r>
        <w:t>Room 10276</w:t>
      </w:r>
    </w:p>
    <w:p w14:paraId="0000000A" w14:textId="77777777" w:rsidR="001A4188" w:rsidRDefault="00000000">
      <w:r>
        <w:t>Washington, DC 20410-0500</w:t>
      </w:r>
    </w:p>
    <w:p w14:paraId="0000000B" w14:textId="77777777" w:rsidR="001A4188" w:rsidRDefault="00000000">
      <w:r>
        <w:t>www.regulations.gov</w:t>
      </w:r>
    </w:p>
    <w:p w14:paraId="0000000C" w14:textId="77777777" w:rsidR="001A4188" w:rsidRDefault="001A4188"/>
    <w:p w14:paraId="0000000D" w14:textId="77777777" w:rsidR="001A4188" w:rsidRDefault="00000000">
      <w:pPr>
        <w:rPr>
          <w:b/>
          <w:bCs/>
        </w:rPr>
      </w:pPr>
      <w:r>
        <w:rPr>
          <w:b/>
          <w:bCs/>
        </w:rPr>
        <w:t xml:space="preserve">RE: Public Comment on U.S. Department of Housing and Urban Development Proposed Rule FR-6518-P-01—Equal Access to Housing in HUD Programs Revisions  </w:t>
      </w:r>
    </w:p>
    <w:p w14:paraId="0000000E" w14:textId="77777777" w:rsidR="001A4188" w:rsidRDefault="001A4188"/>
    <w:p w14:paraId="0000000F" w14:textId="77777777" w:rsidR="001A4188" w:rsidRDefault="00000000">
      <w:r>
        <w:t xml:space="preserve">To Secretary </w:t>
      </w:r>
      <w:r>
        <w:rPr>
          <w:highlight w:val="yellow"/>
        </w:rPr>
        <w:t>Scott Turner</w:t>
      </w:r>
      <w:r>
        <w:t xml:space="preserve">, </w:t>
      </w:r>
    </w:p>
    <w:p w14:paraId="00000010" w14:textId="77777777" w:rsidR="001A4188" w:rsidRDefault="00000000">
      <w:pPr>
        <w:pStyle w:val="Heading1"/>
        <w:numPr>
          <w:ilvl w:val="0"/>
          <w:numId w:val="1"/>
        </w:numPr>
      </w:pPr>
      <w:r>
        <w:t>Introduction</w:t>
      </w:r>
    </w:p>
    <w:p w14:paraId="00000011" w14:textId="77777777" w:rsidR="001A4188" w:rsidRDefault="00000000">
      <w:r>
        <w:t xml:space="preserve">I write to you [on behalf of </w:t>
      </w:r>
      <w:r>
        <w:rPr>
          <w:highlight w:val="yellow"/>
        </w:rPr>
        <w:t>INSERT ORGANIZATION/COMMUNITY ORG</w:t>
      </w:r>
      <w:r>
        <w:t xml:space="preserve"> and] as an advocate for the transgender</w:t>
      </w:r>
      <w:r>
        <w:rPr>
          <w:vertAlign w:val="superscript"/>
        </w:rPr>
        <w:footnoteReference w:id="1"/>
      </w:r>
      <w:r>
        <w:t xml:space="preserve"> community, in response to the Department of Housing and Urban Development’s (“HUD”) notice concerning the revision of the Equal Access Rule (“the Proposed Rule”). The Equal Access Rule is crucial for protecting the transgender and intersex</w:t>
      </w:r>
      <w:r>
        <w:rPr>
          <w:vertAlign w:val="superscript"/>
        </w:rPr>
        <w:footnoteReference w:id="2"/>
      </w:r>
      <w:r>
        <w:t xml:space="preserve"> communities against discrimination in federally funded housing programs and shelters. [</w:t>
      </w:r>
      <w:r>
        <w:rPr>
          <w:highlight w:val="yellow"/>
        </w:rPr>
        <w:t>We/I]</w:t>
      </w:r>
      <w:r>
        <w:t xml:space="preserve"> strongly oppose the revision of the rule and urge HUD to withdraw the Proposed Rule in its entirety. </w:t>
      </w:r>
    </w:p>
    <w:p w14:paraId="00000012" w14:textId="77777777" w:rsidR="001A4188" w:rsidRDefault="001A4188">
      <w:pPr>
        <w:rPr>
          <w:highlight w:val="yellow"/>
        </w:rPr>
      </w:pPr>
    </w:p>
    <w:p w14:paraId="00000013" w14:textId="77777777" w:rsidR="001A4188" w:rsidRDefault="00000000">
      <w:r>
        <w:rPr>
          <w:highlight w:val="yellow"/>
        </w:rPr>
        <w:t>[</w:t>
      </w:r>
      <w:r>
        <w:rPr>
          <w:b/>
          <w:bCs/>
          <w:highlight w:val="yellow"/>
        </w:rPr>
        <w:t xml:space="preserve">Personal/Community/Organizational Statement: </w:t>
      </w:r>
      <w:r>
        <w:rPr>
          <w:highlight w:val="yellow"/>
        </w:rPr>
        <w:t>State your organization’s mission statement. Describe your organization and the work that your organization does.</w:t>
      </w:r>
      <w:r>
        <w:t xml:space="preserve"> </w:t>
      </w:r>
      <w:r>
        <w:rPr>
          <w:highlight w:val="yellow"/>
        </w:rPr>
        <w:t>State your interest in housing and/or the transgender community and why this is particularly urgent to you. This comment will be most compelling if it relates to your experience and/or area of expertise, and if it conveys the real impact of the issue on the lives of real people.]</w:t>
      </w:r>
    </w:p>
    <w:p w14:paraId="00000014" w14:textId="77777777" w:rsidR="001A4188" w:rsidRDefault="001A4188"/>
    <w:p w14:paraId="00000015" w14:textId="77777777" w:rsidR="001A4188" w:rsidRDefault="00000000">
      <w:r>
        <w:t xml:space="preserve">Protecting access to housing aligned with self-identified gender identity and ensuring a sense of safety for transgender and intersex people is legally necessary and central to HUD’s mission. </w:t>
      </w:r>
      <w:r>
        <w:rPr>
          <w:highlight w:val="yellow"/>
        </w:rPr>
        <w:lastRenderedPageBreak/>
        <w:t>[I/INSERT ORGANIZATION]</w:t>
      </w:r>
      <w:r>
        <w:t xml:space="preserve"> urge</w:t>
      </w:r>
      <w:r>
        <w:rPr>
          <w:highlight w:val="yellow"/>
        </w:rPr>
        <w:t>[s]</w:t>
      </w:r>
      <w:r>
        <w:t xml:space="preserve"> HUD to rescind its Proposed Rule and preserve existing protections against unjust housing discrimination for the following reasons.</w:t>
      </w:r>
    </w:p>
    <w:p w14:paraId="00000016" w14:textId="77777777" w:rsidR="001A4188" w:rsidRDefault="00000000">
      <w:pPr>
        <w:pStyle w:val="Heading1"/>
        <w:numPr>
          <w:ilvl w:val="0"/>
          <w:numId w:val="1"/>
        </w:numPr>
      </w:pPr>
      <w:r>
        <w:t>The Proposed Rule Will Negatively Impact Transgender and Intersex People Experiencing Housing Instability.</w:t>
      </w:r>
    </w:p>
    <w:p w14:paraId="00000017" w14:textId="632EF692" w:rsidR="001A4188" w:rsidRDefault="00000000">
      <w:r>
        <w:t>The need for safe housing for many transgender and intersex people is dire. HUD’s own findings, which have been conspicuously deleted from government websites, indicate that transgender people are more likely to experience housing insecurity and transgender people experience persistent discrimination in housing.</w:t>
      </w:r>
      <w:r>
        <w:rPr>
          <w:vertAlign w:val="superscript"/>
        </w:rPr>
        <w:t xml:space="preserve"> </w:t>
      </w:r>
      <w:r>
        <w:rPr>
          <w:vertAlign w:val="superscript"/>
        </w:rPr>
        <w:footnoteReference w:id="3"/>
      </w:r>
      <w:r>
        <w:t xml:space="preserve"> This is consistent with HUD’s (similarly deleted) contention that transgender people (and others in the lesbian, gay, bisexual, transgender, and queer community) “are more likely to become homeless, and once homeless, more likely to endure discrimination and harassment that extends their homelessness.”</w:t>
      </w:r>
      <w:r>
        <w:rPr>
          <w:vertAlign w:val="superscript"/>
        </w:rPr>
        <w:footnoteReference w:id="4"/>
      </w:r>
      <w:r>
        <w:t xml:space="preserve"> </w:t>
      </w:r>
      <w:proofErr w:type="gramStart"/>
      <w:r>
        <w:t>Other</w:t>
      </w:r>
      <w:proofErr w:type="gramEnd"/>
      <w:r>
        <w:t xml:space="preserve"> research paints a similar picture. One study showed that around 30% of transgender people reported having experienced homelessness at some point in their lives—</w:t>
      </w:r>
      <w:r w:rsidR="000678E8">
        <w:t>several times</w:t>
      </w:r>
      <w:r>
        <w:t xml:space="preserve"> higher than the general population.</w:t>
      </w:r>
      <w:r>
        <w:rPr>
          <w:vertAlign w:val="superscript"/>
        </w:rPr>
        <w:footnoteReference w:id="5"/>
      </w:r>
      <w:r>
        <w:rPr>
          <w:vertAlign w:val="superscript"/>
        </w:rPr>
        <w:t xml:space="preserve"> </w:t>
      </w:r>
      <w:r>
        <w:t>This study also indicates that transgender individuals experiencing homelessness are disproportionately unsheltered—about 63% compared to 49% of cisgender individuals.</w:t>
      </w:r>
      <w:r>
        <w:rPr>
          <w:vertAlign w:val="superscript"/>
        </w:rPr>
        <w:footnoteReference w:id="6"/>
      </w:r>
      <w:r>
        <w:t xml:space="preserve"> Another recent study reveals that eight percent (8%) of transgender people were homeless within the last 12 months of being surveyed.</w:t>
      </w:r>
      <w:r>
        <w:rPr>
          <w:vertAlign w:val="superscript"/>
        </w:rPr>
        <w:footnoteReference w:id="7"/>
      </w:r>
      <w:r>
        <w:t xml:space="preserve"> Additionally, research shows that 39% of intersex LGBTQ youth (aged 13 to 24) have experienced housing instability,</w:t>
      </w:r>
      <w:r>
        <w:rPr>
          <w:vertAlign w:val="superscript"/>
        </w:rPr>
        <w:footnoteReference w:id="8"/>
      </w:r>
      <w:r>
        <w:t xml:space="preserve"> and 35% of intersex LGBTQ adults had accessed government-subsidized housing during the year prior to the survey.</w:t>
      </w:r>
      <w:r>
        <w:rPr>
          <w:vertAlign w:val="superscript"/>
        </w:rPr>
        <w:footnoteReference w:id="9"/>
      </w:r>
      <w:r>
        <w:t xml:space="preserve"> More localized studies involving transgender, gender-nonconforming, and intersex individuals have echoed these findings as well.</w:t>
      </w:r>
      <w:r>
        <w:rPr>
          <w:vertAlign w:val="superscript"/>
        </w:rPr>
        <w:footnoteReference w:id="10"/>
      </w:r>
      <w:r>
        <w:t xml:space="preserve"> </w:t>
      </w:r>
    </w:p>
    <w:p w14:paraId="00000018" w14:textId="77777777" w:rsidR="001A4188" w:rsidRDefault="001A4188"/>
    <w:p w14:paraId="00000019" w14:textId="7BB629B7" w:rsidR="001A4188" w:rsidRDefault="00000000">
      <w:r>
        <w:t>Despite increased need for safe shelters, transgender people access shelter at reduced rates due to discriminatory practices. One survey demonstrated nearly 26% of transgender people who had experienced homelessness in the year prior reported avoiding shelter “because they feared being mistreated as a transgender person.”</w:t>
      </w:r>
      <w:r>
        <w:rPr>
          <w:vertAlign w:val="superscript"/>
        </w:rPr>
        <w:footnoteReference w:id="11"/>
      </w:r>
      <w:r>
        <w:t xml:space="preserve"> In the same survey, 70% of transgender respondents who</w:t>
      </w:r>
      <w:r w:rsidR="000678E8">
        <w:t xml:space="preserve"> stayed in a shelter within</w:t>
      </w:r>
      <w:r>
        <w:t xml:space="preserve"> the </w:t>
      </w:r>
      <w:r w:rsidR="000678E8">
        <w:t>last</w:t>
      </w:r>
      <w:r>
        <w:t xml:space="preserve"> year stated they were harassed, physically assaulted, asked to present as the wrong gender in a shelter, or removed from a homeless shelter due to being transgender.</w:t>
      </w:r>
      <w:r>
        <w:rPr>
          <w:vertAlign w:val="superscript"/>
        </w:rPr>
        <w:footnoteReference w:id="12"/>
      </w:r>
      <w:r>
        <w:t xml:space="preserve"> Consistent with this, HUD reported that it “found that transgender and gender nonconforming persons continue to experience significant violence, harassment, and discrimination in attempting to access programs, benefits, services, and accommodations.”</w:t>
      </w:r>
      <w:r>
        <w:rPr>
          <w:vertAlign w:val="superscript"/>
        </w:rPr>
        <w:footnoteReference w:id="13"/>
      </w:r>
      <w:r>
        <w:t xml:space="preserve"> This is consistent with the agency’s recognition of a study performed by the Center for American Progress, which found that over a fifth of shelters (21%) refused to serve transgender women, less than one-third (30%) of shelters would house transgender women with other women, and over one-eighth (13%) of shelters proposed to place transgender</w:t>
      </w:r>
      <w:r w:rsidR="000678E8">
        <w:t xml:space="preserve"> women</w:t>
      </w:r>
      <w:r>
        <w:t xml:space="preserve"> in isolation or in housing with men.</w:t>
      </w:r>
      <w:r>
        <w:rPr>
          <w:vertAlign w:val="superscript"/>
        </w:rPr>
        <w:footnoteReference w:id="14"/>
      </w:r>
      <w:r>
        <w:t xml:space="preserve"> These findings are highly relevant because a recent study reported that a majority of transgender people would find it “very difficult” or “not possible” to find an alternative option if they were turned away from a shelter.</w:t>
      </w:r>
      <w:r>
        <w:rPr>
          <w:vertAlign w:val="superscript"/>
        </w:rPr>
        <w:footnoteReference w:id="15"/>
      </w:r>
      <w:r>
        <w:t xml:space="preserve"> The Equal Access Rule serves to prevent this kind of discrimination and ensure that transgender people have access to shelters. </w:t>
      </w:r>
    </w:p>
    <w:p w14:paraId="0000001A" w14:textId="77777777" w:rsidR="001A4188" w:rsidRDefault="001A4188"/>
    <w:p w14:paraId="0000001B" w14:textId="77777777" w:rsidR="001A4188" w:rsidRDefault="00000000">
      <w:r>
        <w:t xml:space="preserve">Even in the best of circumstances, shelter access is often unstable for transgender people.  Despite anti-discrimination protections in </w:t>
      </w:r>
      <w:r>
        <w:rPr>
          <w:highlight w:val="yellow"/>
        </w:rPr>
        <w:t>[LOCATION]</w:t>
      </w:r>
      <w:r>
        <w:t>, [</w:t>
      </w:r>
      <w:r>
        <w:rPr>
          <w:highlight w:val="yellow"/>
        </w:rPr>
        <w:t>my community / clients and members of [ORG NAME]]</w:t>
      </w:r>
      <w:r>
        <w:t xml:space="preserve"> have continued to experience anti-transgender mistreatment by fellow shelter residents [</w:t>
      </w:r>
      <w:r>
        <w:rPr>
          <w:highlight w:val="yellow"/>
        </w:rPr>
        <w:t>and/or]</w:t>
      </w:r>
      <w:r>
        <w:t xml:space="preserve"> shelter staff. By effectively forcing transgender people to relocate to accommodating shelters or services to access essential services, the Proposed Rule reduces service accessibility and can increase unsheltered homelessness—costs that advocacy groups warn would shift to hospitals and local systems.</w:t>
      </w:r>
      <w:r>
        <w:rPr>
          <w:vertAlign w:val="superscript"/>
        </w:rPr>
        <w:footnoteReference w:id="16"/>
      </w:r>
    </w:p>
    <w:p w14:paraId="0000001C" w14:textId="77777777" w:rsidR="001A4188" w:rsidRDefault="001A4188"/>
    <w:p w14:paraId="0000001D" w14:textId="77777777" w:rsidR="001A4188" w:rsidRDefault="00000000">
      <w:pPr>
        <w:rPr>
          <w:highlight w:val="yellow"/>
        </w:rPr>
      </w:pPr>
      <w:r>
        <w:rPr>
          <w:highlight w:val="yellow"/>
        </w:rPr>
        <w:lastRenderedPageBreak/>
        <w:t>[Describe a situation in which you or your organization’s clients or members dealt with discrimination from shelters in the past, if applicable.]</w:t>
      </w:r>
    </w:p>
    <w:p w14:paraId="0000001E" w14:textId="77777777" w:rsidR="001A4188" w:rsidRDefault="001A4188"/>
    <w:p w14:paraId="0000001F" w14:textId="77777777" w:rsidR="001A4188" w:rsidRDefault="00000000">
      <w:r>
        <w:rPr>
          <w:highlight w:val="yellow"/>
        </w:rPr>
        <w:t>[If you have regional data, please use this section. Otherwise, you can cut the below example</w:t>
      </w:r>
      <w:r>
        <w:t>]</w:t>
      </w:r>
    </w:p>
    <w:p w14:paraId="00000020" w14:textId="35746AB3" w:rsidR="001A4188" w:rsidRDefault="00000000">
      <w:r>
        <w:rPr>
          <w:highlight w:val="yellow"/>
        </w:rPr>
        <w:t>FLORIDA EXAMPLE:</w:t>
      </w:r>
      <w:r>
        <w:t xml:space="preserve">  For example, in 2018, the Transgender Law Center, with assistance from Arianna’s Center, conducted a survey of transgender people in South Florida, and the results confirm the crisis facing many in this community: 80% of respondents reported being kicked out of home before they turned 18; additionally, 71% of respondents who identify as Black and 58% of respondents who identify as Hispanic reported facing housing discrimination. Additional issues exacerbate the challenges transgender people experiencing homeless</w:t>
      </w:r>
      <w:r w:rsidR="000678E8">
        <w:t>ness</w:t>
      </w:r>
      <w:r>
        <w:t xml:space="preserve"> and housing insecurity face such as difficulties in obtaining name and gender marker changes (57% of Black women and 67% of Hispanic women) as well as employment discrimination (71% of Black women and 92% of Hispanic women). Of all respondents, 13% reported being turned away from a shelter because of their gender identity.</w:t>
      </w:r>
    </w:p>
    <w:p w14:paraId="00000021" w14:textId="77777777" w:rsidR="001A4188" w:rsidRDefault="001A4188"/>
    <w:p w14:paraId="00000022" w14:textId="77777777" w:rsidR="001A4188" w:rsidRDefault="00000000">
      <w:r>
        <w:t xml:space="preserve">Additionally, the Proposed Rule could harm transgender and intersex people whose identity documents do not accurately reflect their gender identities. For example, shelters may use legal identification </w:t>
      </w:r>
      <w:proofErr w:type="gramStart"/>
      <w:r>
        <w:t>as a way to</w:t>
      </w:r>
      <w:proofErr w:type="gramEnd"/>
      <w:r>
        <w:t xml:space="preserve"> determine a person’s sex </w:t>
      </w:r>
      <w:proofErr w:type="gramStart"/>
      <w:r>
        <w:t>in an attempt to</w:t>
      </w:r>
      <w:proofErr w:type="gramEnd"/>
      <w:r>
        <w:t xml:space="preserve"> implement the Proposed Rule’s requirement to place people based on sex. Transgender people often have identity documents that do not accurately reflect their gender identity or sex assigned at birth. Indeed, over two-thirds (67%) of transgender people do not have any ID or record that accurately lists their gender identity.</w:t>
      </w:r>
      <w:r>
        <w:rPr>
          <w:vertAlign w:val="superscript"/>
        </w:rPr>
        <w:footnoteReference w:id="17"/>
      </w:r>
      <w:r>
        <w:t xml:space="preserve"> Less than one-eighth (12%) of transgender people have updated all their identification documents to accurately represent their gender identity. Accordingly, a large majority of transgender people would be misgendered </w:t>
      </w:r>
      <w:proofErr w:type="gramStart"/>
      <w:r>
        <w:t>as a result of</w:t>
      </w:r>
      <w:proofErr w:type="gramEnd"/>
      <w:r>
        <w:t xml:space="preserve"> shelter policies that rely on identity documents to determine sex. Intersex people can encounter similar issues with obtaining identity documents that accurately represent their gender identity or sex.</w:t>
      </w:r>
      <w:r>
        <w:rPr>
          <w:vertAlign w:val="superscript"/>
        </w:rPr>
        <w:footnoteReference w:id="18"/>
      </w:r>
      <w:r>
        <w:t xml:space="preserve"> For </w:t>
      </w:r>
      <w:proofErr w:type="gramStart"/>
      <w:r>
        <w:t>example,  many</w:t>
      </w:r>
      <w:proofErr w:type="gramEnd"/>
      <w:r>
        <w:t xml:space="preserve"> men with the intersex variation 5α-reductase deficiency</w:t>
      </w:r>
      <w:r>
        <w:rPr>
          <w:vertAlign w:val="superscript"/>
        </w:rPr>
        <w:footnoteReference w:id="19"/>
      </w:r>
      <w:r>
        <w:t xml:space="preserve"> are assigned female sex at birth despite meeting the Proposed Rule’s gamete-focused definition of what it means to be a man. Accordingly, a shelter policy that uses sex markers on birth certificates would result in these men being placed with women, which would likely not be acceptable to the men. Additionally, it </w:t>
      </w:r>
      <w:r>
        <w:lastRenderedPageBreak/>
        <w:t>would technically result in the shelter being non-compliant with the Proposed Rule’s own placement requirements. This highlights a more fundamental problem with the Proposed Rule.</w:t>
      </w:r>
    </w:p>
    <w:p w14:paraId="00000023" w14:textId="77777777" w:rsidR="001A4188" w:rsidRDefault="001A4188"/>
    <w:p w14:paraId="00000024" w14:textId="77777777" w:rsidR="001A4188" w:rsidRDefault="00000000">
      <w:r>
        <w:t>The Proposed Rule’s definition of sex is incompatible with the reality that “sex” is not a neatly binary classification that can be objectively determined, and the application of this arbitrary definition will harm many intersex people. Intersex people make up about 1.7% of the population and are born with physical variations that differ from stereotypes about male or female bodies.</w:t>
      </w:r>
      <w:r>
        <w:rPr>
          <w:vertAlign w:val="superscript"/>
        </w:rPr>
        <w:footnoteReference w:id="20"/>
      </w:r>
      <w:r>
        <w:t xml:space="preserve"> They may not be easily categorized into a binary sex system based around particular physical characteristics, as the Proposed Rule requires.</w:t>
      </w:r>
      <w:r>
        <w:rPr>
          <w:vertAlign w:val="superscript"/>
        </w:rPr>
        <w:footnoteReference w:id="21"/>
      </w:r>
      <w:r>
        <w:t xml:space="preserve"> Indeed, the Proposed Rule provides no concrete methodology for determining the sex of intersex people in the context of its limited definitions. In this way, the agency fails to account adequately for how the Proposed Rule would apply to people with a range of different intersex variations. For instance, people with an </w:t>
      </w:r>
      <w:proofErr w:type="spellStart"/>
      <w:r>
        <w:t>ovotesticular</w:t>
      </w:r>
      <w:proofErr w:type="spellEnd"/>
      <w:r>
        <w:t xml:space="preserve"> variation may produce both ova and sperm.</w:t>
      </w:r>
      <w:r>
        <w:rPr>
          <w:vertAlign w:val="superscript"/>
        </w:rPr>
        <w:footnoteReference w:id="22"/>
      </w:r>
      <w:r>
        <w:t xml:space="preserve"> It is unclear how to apply the Proposed Rule’s definitions, which assume that a person produces just one type of reproductive cell.</w:t>
      </w:r>
      <w:r>
        <w:rPr>
          <w:vertAlign w:val="superscript"/>
        </w:rPr>
        <w:footnoteReference w:id="23"/>
      </w:r>
      <w:r>
        <w:t xml:space="preserve"> Similarly, some intersex people are born with streak gonads (i.e., fibrous tissue that does not develop into testes or ovaries) rather than reproductive gonadal tissue, resulting in them producing neither ova nor sperm. Although the Proposed Rule stipulates that sex can be determined based on what gamete </w:t>
      </w:r>
      <w:r>
        <w:rPr>
          <w:i/>
          <w:iCs/>
        </w:rPr>
        <w:t>would</w:t>
      </w:r>
      <w:r>
        <w:t xml:space="preserve"> be produced “absent disruption or congenital anomaly,”</w:t>
      </w:r>
      <w:r>
        <w:rPr>
          <w:vertAlign w:val="superscript"/>
        </w:rPr>
        <w:footnoteReference w:id="24"/>
      </w:r>
      <w:r>
        <w:t xml:space="preserve"> this stipulation relies on the faulty premise that sex development is teleological. Contrary to this view, gonadal development relies on multiple dynamic factors </w:t>
      </w:r>
      <w:r>
        <w:rPr>
          <w:i/>
          <w:iCs/>
        </w:rPr>
        <w:t>in utero</w:t>
      </w:r>
      <w:r>
        <w:t>, and there is no single latent pathway by which an individual’s “but-for” gamete production can be revealed.</w:t>
      </w:r>
      <w:r>
        <w:rPr>
          <w:vertAlign w:val="superscript"/>
        </w:rPr>
        <w:footnoteReference w:id="25"/>
      </w:r>
      <w:r>
        <w:t xml:space="preserve"> The existence of ovotestes </w:t>
      </w:r>
      <w:r>
        <w:lastRenderedPageBreak/>
        <w:t>and streak gonads are just two examples that highlight how the Proposed Rule’s reliance on the so-called “biological truth” of a gamete-focused definition is an arbitrary oversimplification of the biological complexity that exists in reality. Premising a person’s sex classification on their reproductive potential is practically and scientifically flawed,</w:t>
      </w:r>
      <w:r>
        <w:rPr>
          <w:vertAlign w:val="superscript"/>
        </w:rPr>
        <w:footnoteReference w:id="26"/>
      </w:r>
      <w:r>
        <w:t xml:space="preserve"> and will result in the misclassification of many intersex people in addition to transgender people.</w:t>
      </w:r>
    </w:p>
    <w:p w14:paraId="00000025" w14:textId="77777777" w:rsidR="001A4188" w:rsidRDefault="001A4188"/>
    <w:p w14:paraId="00000026" w14:textId="77777777" w:rsidR="001A4188" w:rsidRDefault="00000000">
      <w:r>
        <w:t>Additionally, the agency proposes to remove “the definition of and all references to ‘gender identity’ and ‘gender’ . . . throughout HUD’s regulations and [have them] replaced with ‘‘sex’’ to refer to an individual’s [supposedly] immutable biological classification as either male or female as defined in Section 2 of E.O. 14168.”</w:t>
      </w:r>
      <w:r>
        <w:rPr>
          <w:vertAlign w:val="superscript"/>
        </w:rPr>
        <w:footnoteReference w:id="27"/>
      </w:r>
      <w:r>
        <w:t xml:space="preserve"> This would affect a large number of regulations, including mortgage programs, fair-housing administration, Section 8, and community-development programs.</w:t>
      </w:r>
      <w:r>
        <w:rPr>
          <w:vertAlign w:val="superscript"/>
        </w:rPr>
        <w:footnoteReference w:id="28"/>
      </w:r>
      <w:r>
        <w:t xml:space="preserve"> </w:t>
      </w:r>
      <w:r>
        <w:rPr>
          <w:highlight w:val="yellow"/>
        </w:rPr>
        <w:t>I/We</w:t>
      </w:r>
      <w:r>
        <w:t xml:space="preserve"> struggle to respond to this proposal’s reasoning because barely any rationale is provided,</w:t>
      </w:r>
      <w:r>
        <w:rPr>
          <w:vertAlign w:val="superscript"/>
        </w:rPr>
        <w:footnoteReference w:id="29"/>
      </w:r>
      <w:r>
        <w:t xml:space="preserve"> but the consequences of such sweeping changes are easy to deduce. For example, transgender borrowers will experience more barriers when challenging discriminatory loaning practices and lenders may interpret regulations as not prohibiting discrimination </w:t>
      </w:r>
      <w:proofErr w:type="gramStart"/>
      <w:r>
        <w:t>on the basis of</w:t>
      </w:r>
      <w:proofErr w:type="gramEnd"/>
      <w:r>
        <w:t xml:space="preserve"> transgender status. Recordkeeping under the agency’s regulations would likely reinforce a gender binary and fail to accommodate the records of transgender people, especially those who are nonbinary. Increased discrimination and </w:t>
      </w:r>
      <w:proofErr w:type="spellStart"/>
      <w:r>
        <w:t>miscategorization</w:t>
      </w:r>
      <w:proofErr w:type="spellEnd"/>
      <w:r>
        <w:t xml:space="preserve"> of records could similarly impact intersex people as well. These changes to reporting and recordkeeping would also make it more difficult for the agency to statistically detect and therefore prevent discriminatory patterns that harm transgender people. Community-development and grant programs could also be affected administratively. Specifically, organizations serving transgender or intersex populations may encounter reduced eligibility for federal funding, or uncertainty about whether transgender-focused services align with HUD definitions. Additionally, the proposed changes would make it less clear that it is impermissible to discriminate </w:t>
      </w:r>
      <w:proofErr w:type="gramStart"/>
      <w:r>
        <w:t>on the basis of</w:t>
      </w:r>
      <w:proofErr w:type="gramEnd"/>
      <w:r>
        <w:t xml:space="preserve"> transgender status in Section 8 and other federally funded housing programs. Given the uncertainty that these issues would present for the transgender and intersex communities, service providers will likely have to divert resources to gain clarity on how to fulfill their mission in this new regulatory landscape, likely forcing them to abandon or heavily revise planned initiatives to serve these vulnerable communities.</w:t>
      </w:r>
    </w:p>
    <w:p w14:paraId="00000027" w14:textId="77777777" w:rsidR="001A4188" w:rsidRDefault="00000000">
      <w:pPr>
        <w:pStyle w:val="Heading1"/>
        <w:numPr>
          <w:ilvl w:val="0"/>
          <w:numId w:val="1"/>
        </w:numPr>
      </w:pPr>
      <w:r>
        <w:t xml:space="preserve">The Proposed Rule Will Negatively Impact Services Provided by Community Organizations </w:t>
      </w:r>
    </w:p>
    <w:p w14:paraId="00000028" w14:textId="21239EA7" w:rsidR="001A4188" w:rsidRDefault="00000000">
      <w:r>
        <w:lastRenderedPageBreak/>
        <w:t xml:space="preserve">Shelters have substantially benefited from the Equal Access Rule’s clear language and protections. A </w:t>
      </w:r>
      <w:r w:rsidR="000678E8">
        <w:t>recent</w:t>
      </w:r>
      <w:r>
        <w:t xml:space="preserve"> study sought to understand how the Equal Access Rule affected service and accommodations at youth homeless shelters for transgender youth.</w:t>
      </w:r>
      <w:r>
        <w:rPr>
          <w:vertAlign w:val="superscript"/>
        </w:rPr>
        <w:footnoteReference w:id="30"/>
      </w:r>
      <w:r>
        <w:t xml:space="preserve"> While the study found “a confused mixture of accommodations and policies impacting [transgender] youth indicating HUD policy compliance in some areas of the shelter and out of compliance in others,” compliance was moving in the right direction during the first full year of the </w:t>
      </w:r>
      <w:r w:rsidR="000678E8">
        <w:t>Equal Access Rule</w:t>
      </w:r>
      <w:r>
        <w:t>.</w:t>
      </w:r>
      <w:r>
        <w:rPr>
          <w:vertAlign w:val="superscript"/>
        </w:rPr>
        <w:footnoteReference w:id="31"/>
      </w:r>
      <w:r>
        <w:t xml:space="preserve"> Of the shelters surveyed, 95% had private intake spaces available; 88% of the shelters that provided sleeping quarters and shower facilities allowed individuals to use the accommodations that matched their gender identity; 73.5% had gender neutral bathrooms, and 87.2% had single-stall showers and restrooms.</w:t>
      </w:r>
      <w:r>
        <w:rPr>
          <w:vertAlign w:val="superscript"/>
        </w:rPr>
        <w:footnoteReference w:id="32"/>
      </w:r>
      <w:r>
        <w:t xml:space="preserve"> In just one year of the 2016 updates to the Equal Access Rule in place, many shelters had suitable accommodations for transgender youth experiencing homelessness. Rescission of the rule puts all this progress in jeopardy. </w:t>
      </w:r>
    </w:p>
    <w:p w14:paraId="00000029" w14:textId="77777777" w:rsidR="001A4188" w:rsidRDefault="001A4188"/>
    <w:p w14:paraId="0000002A" w14:textId="77777777" w:rsidR="001A4188" w:rsidRDefault="00000000">
      <w:r>
        <w:t>By contrast, the Proposed Rule directs housing programs to investigate the sex characteristics of their patrons without assessing the economic, reputational, and ethical costs that such gender policing will have on already overtaxed service providers. [</w:t>
      </w:r>
      <w:r>
        <w:rPr>
          <w:highlight w:val="yellow"/>
        </w:rPr>
        <w:t>Explain how being required to place people in accordance with sex would be burdensome to service providers.</w:t>
      </w:r>
      <w:r>
        <w:t>]</w:t>
      </w:r>
    </w:p>
    <w:p w14:paraId="0000002B" w14:textId="77777777" w:rsidR="001A4188" w:rsidRDefault="001A4188"/>
    <w:p w14:paraId="0000002C" w14:textId="77777777" w:rsidR="001A4188" w:rsidRDefault="00000000">
      <w:r>
        <w:rPr>
          <w:highlight w:val="yellow"/>
        </w:rPr>
        <w:t>[For service providers: What steps has your organization taken to be more accommodating to transgender people in homeless shelters? For non-service providers: What have you heard are the accommodations shelters make for transgender people?]</w:t>
      </w:r>
      <w:r>
        <w:t>  </w:t>
      </w:r>
    </w:p>
    <w:p w14:paraId="0000002D" w14:textId="77777777" w:rsidR="001A4188" w:rsidRDefault="001A4188"/>
    <w:p w14:paraId="0000002E" w14:textId="372D28AF" w:rsidR="001A4188" w:rsidRDefault="00000000">
      <w:r>
        <w:t>While transgender individuals still face barriers in finding shelter when experiencing homelessness, the Equal Access Rule has legally guaranteed them access to shelter and helped individuals feel safer and more secure when seeking shelter. Since the rule went into effect, providers have observed that more transgender people have sought shelter when they need it.</w:t>
      </w:r>
      <w:r>
        <w:rPr>
          <w:vertAlign w:val="superscript"/>
        </w:rPr>
        <w:footnoteReference w:id="33"/>
      </w:r>
      <w:r>
        <w:t xml:space="preserve"> One transgender-led shelter, for example, observed that transgender people were more open to seeking housing following the promulgation of the Equal Access Rule because it meant that they had nondiscrimination protections.</w:t>
      </w:r>
      <w:r>
        <w:rPr>
          <w:vertAlign w:val="superscript"/>
        </w:rPr>
        <w:footnoteReference w:id="34"/>
      </w:r>
      <w:r>
        <w:t xml:space="preserve"> Echoing this observation, the National Alliance to End Homelessness has explained that rescinding the Equal Access Rule “will force more people into unsheltered homelessness and provide fewer shelter options.”</w:t>
      </w:r>
      <w:r>
        <w:rPr>
          <w:vertAlign w:val="superscript"/>
        </w:rPr>
        <w:footnoteReference w:id="35"/>
      </w:r>
      <w:r>
        <w:t xml:space="preserve"> In [</w:t>
      </w:r>
      <w:r>
        <w:rPr>
          <w:highlight w:val="yellow"/>
        </w:rPr>
        <w:t>my/our</w:t>
      </w:r>
      <w:r>
        <w:t xml:space="preserve">] experience, </w:t>
      </w:r>
      <w:r>
        <w:rPr>
          <w:color w:val="1D1C1D"/>
        </w:rPr>
        <w:t>[</w:t>
      </w:r>
      <w:r>
        <w:rPr>
          <w:color w:val="1D1C1D"/>
          <w:highlight w:val="yellow"/>
        </w:rPr>
        <w:t xml:space="preserve">how did </w:t>
      </w:r>
      <w:r>
        <w:rPr>
          <w:color w:val="1D1C1D"/>
          <w:highlight w:val="yellow"/>
        </w:rPr>
        <w:lastRenderedPageBreak/>
        <w:t>your organization see changes to shelter access after the E</w:t>
      </w:r>
      <w:r w:rsidR="000678E8">
        <w:rPr>
          <w:color w:val="1D1C1D"/>
          <w:highlight w:val="yellow"/>
        </w:rPr>
        <w:t>qual Access R</w:t>
      </w:r>
      <w:r>
        <w:rPr>
          <w:color w:val="1D1C1D"/>
          <w:highlight w:val="yellow"/>
        </w:rPr>
        <w:t>ule went into effect first in 2012 and with expansions in 2016?</w:t>
      </w:r>
      <w:r>
        <w:rPr>
          <w:color w:val="1D1C1D"/>
        </w:rPr>
        <w:t>].</w:t>
      </w:r>
    </w:p>
    <w:p w14:paraId="0000002F" w14:textId="77777777" w:rsidR="001A4188" w:rsidRDefault="001A4188"/>
    <w:p w14:paraId="00000030" w14:textId="77777777" w:rsidR="001A4188" w:rsidRDefault="00000000">
      <w:pPr>
        <w:rPr>
          <w:highlight w:val="yellow"/>
        </w:rPr>
      </w:pPr>
      <w:r>
        <w:rPr>
          <w:highlight w:val="yellow"/>
        </w:rPr>
        <w:t>[What do accepting shelters mean to you and your local community? How has it impacted you and/or your community members? Please include anecdotes here. The more the better]</w:t>
      </w:r>
    </w:p>
    <w:p w14:paraId="00000031" w14:textId="77777777" w:rsidR="001A4188" w:rsidRDefault="001A4188"/>
    <w:p w14:paraId="00000032" w14:textId="77777777" w:rsidR="001A4188" w:rsidRDefault="00000000">
      <w:r>
        <w:t>The Proposed Rule will reverse the progress made under the Equal Access Rule. Under the Equal Access Rule, shelters had to admit and house people consistent with their gender identity. The proposed rule allows providers to deny access or redirect individuals based on perceived or presumed sex characteristics. As a result, for example, a domestic violence shelter that currently houses transgender women in women’s facilities would now have to either: deny them admission, place them in men’s facilities, or refer them to services that may not exist locally. This is untenable to many shelters, like [</w:t>
      </w:r>
      <w:r>
        <w:rPr>
          <w:highlight w:val="yellow"/>
        </w:rPr>
        <w:t>name of organization</w:t>
      </w:r>
      <w:r>
        <w:t>] because [</w:t>
      </w:r>
      <w:r>
        <w:rPr>
          <w:highlight w:val="yellow"/>
        </w:rPr>
        <w:t>explain why not discriminating against transgender people is essential to your organization’s mission.</w:t>
      </w:r>
      <w:r>
        <w:t xml:space="preserve">] Additionally, shelters that refuse to engage in discriminatory practices will likely be overburdened by the influx of transgender patrons who cannot be accommodated by federally funded shelters due to the Proposed Rule. </w:t>
      </w:r>
    </w:p>
    <w:p w14:paraId="00000033" w14:textId="77777777" w:rsidR="001A4188" w:rsidRDefault="00000000">
      <w:pPr>
        <w:pStyle w:val="Heading1"/>
        <w:numPr>
          <w:ilvl w:val="0"/>
          <w:numId w:val="1"/>
        </w:numPr>
      </w:pPr>
      <w:r>
        <w:t>The Proposed Rule Cannot be Implemented Without Relying on Stereotypes About Sex Characteristics, Which Will Negatively Affect Transgender People and Intersex People.</w:t>
      </w:r>
    </w:p>
    <w:p w14:paraId="00000034" w14:textId="59807777" w:rsidR="001A4188" w:rsidRDefault="00000000">
      <w:r>
        <w:t xml:space="preserve">The Proposed Rule will greatly harm transgender and intersex individuals—contrary to HUD’s mission to provide safe shelter to all in need. Specifically, the Proposed Rule will </w:t>
      </w:r>
      <w:r w:rsidR="000678E8">
        <w:t xml:space="preserve">force </w:t>
      </w:r>
      <w:r>
        <w:t>individuals to be housed in the wrong single-sex facility based on others’ perception of their sex assigned at birth or specific physical characteristics,</w:t>
      </w:r>
      <w:r>
        <w:rPr>
          <w:vertAlign w:val="superscript"/>
        </w:rPr>
        <w:footnoteReference w:id="36"/>
      </w:r>
      <w:r>
        <w:t xml:space="preserve"> essentially forcing transgender and intersex individuals to face intrusive questioning about their anatomy and medical records.</w:t>
      </w:r>
      <w:r>
        <w:rPr>
          <w:vertAlign w:val="superscript"/>
        </w:rPr>
        <w:footnoteReference w:id="37"/>
      </w:r>
      <w:r>
        <w:t xml:space="preserve"> In practice, people who do not conform to rigid stereotypes about what their body and gender presentation are stereotypically “supposed” to look like will face heightened scrutiny when seeking to access shelter. As a result, many individuals will be forced to choose between undergoing embarrassing and invasive questioning by shelters or remaining in dangerous situations. Implementing such policies would be unworkable, and trying to enforce these policies could put staff in a position where they must stereotype people based solely on how they look that day and/or resort to </w:t>
      </w:r>
      <w:r w:rsidR="000678E8">
        <w:t>enlisting</w:t>
      </w:r>
      <w:r>
        <w:t xml:space="preserve"> medical staff to invasively inspect people’s genitals, all the </w:t>
      </w:r>
      <w:r>
        <w:lastRenderedPageBreak/>
        <w:t xml:space="preserve">while needing to navigate the legal implications of doing so. The burden placed on shelters would severely impact services rendered. </w:t>
      </w:r>
    </w:p>
    <w:p w14:paraId="00000035" w14:textId="77777777" w:rsidR="001A4188" w:rsidRDefault="001A4188"/>
    <w:p w14:paraId="00000036" w14:textId="77777777" w:rsidR="001A4188" w:rsidRDefault="00000000">
      <w:r>
        <w:t>[</w:t>
      </w:r>
      <w:r>
        <w:rPr>
          <w:highlight w:val="yellow"/>
        </w:rPr>
        <w:t xml:space="preserve">How will shelters’ questioning your community members’ gender to determine whether to admit them affect your members? Describe how this will feel in the moment, its lasting impacts on individuals and community </w:t>
      </w:r>
      <w:proofErr w:type="gramStart"/>
      <w:r>
        <w:rPr>
          <w:highlight w:val="yellow"/>
        </w:rPr>
        <w:t>members as a whole</w:t>
      </w:r>
      <w:proofErr w:type="gramEnd"/>
      <w:r>
        <w:rPr>
          <w:highlight w:val="yellow"/>
        </w:rPr>
        <w:t>. Consider how hard it would be for shelters in your area to determine sex assigned at birth without simply asking the person or honoring their gender identity.]</w:t>
      </w:r>
    </w:p>
    <w:p w14:paraId="00000037" w14:textId="77777777" w:rsidR="001A4188" w:rsidRDefault="001A4188"/>
    <w:p w14:paraId="00000038" w14:textId="42C45561" w:rsidR="001A4188" w:rsidRDefault="00000000">
      <w:r>
        <w:t xml:space="preserve">The Proposed Rule does not adequately explain how it will address the disastrous consequences of discriminating against transgender and intersex people in housing placements. It will greatly diminish transgender and intersex individuals’ access to shelters or </w:t>
      </w:r>
      <w:r w:rsidR="000678E8">
        <w:t>force</w:t>
      </w:r>
      <w:r>
        <w:t xml:space="preserve"> individuals to be housed in the wrong single-sex facility based on others’ </w:t>
      </w:r>
      <w:r>
        <w:rPr>
          <w:i/>
          <w:iCs/>
        </w:rPr>
        <w:t>perception</w:t>
      </w:r>
      <w:r>
        <w:t xml:space="preserve"> of their “biological sex.” This can have dire consequences as lack of access to shelters may force individuals to remain in abusive homes or risk the dangers of the streets.</w:t>
      </w:r>
      <w:r>
        <w:rPr>
          <w:color w:val="1D1C1D"/>
          <w:vertAlign w:val="superscript"/>
        </w:rPr>
        <w:footnoteReference w:id="38"/>
      </w:r>
      <w:r>
        <w:t xml:space="preserve"> </w:t>
      </w:r>
      <w:r>
        <w:rPr>
          <w:highlight w:val="yellow"/>
        </w:rPr>
        <w:t xml:space="preserve">[How will losing access to shelters affect your community? What are the </w:t>
      </w:r>
      <w:proofErr w:type="gramStart"/>
      <w:r>
        <w:rPr>
          <w:highlight w:val="yellow"/>
        </w:rPr>
        <w:t>particular dangers</w:t>
      </w:r>
      <w:proofErr w:type="gramEnd"/>
      <w:r>
        <w:rPr>
          <w:highlight w:val="yellow"/>
        </w:rPr>
        <w:t xml:space="preserve"> community members will face?]</w:t>
      </w:r>
      <w:r>
        <w:t xml:space="preserve"> Despite these concerns, the Proposed Rule inexplicably remains silent on how it will mitigate the inevitable harm that it will cause to these communities. </w:t>
      </w:r>
    </w:p>
    <w:p w14:paraId="00000039" w14:textId="77777777" w:rsidR="001A4188" w:rsidRDefault="00000000">
      <w:pPr>
        <w:pStyle w:val="Heading1"/>
        <w:numPr>
          <w:ilvl w:val="0"/>
          <w:numId w:val="1"/>
        </w:numPr>
      </w:pPr>
      <w:r>
        <w:t xml:space="preserve">Transgender People Can be Safely Housed with Cisgender People. </w:t>
      </w:r>
    </w:p>
    <w:p w14:paraId="0000003A" w14:textId="166B4A7E" w:rsidR="001A4188" w:rsidRDefault="00000000">
      <w:r>
        <w:t>The Proposed Rule provides no empirical evidence or even verified anecdotes that indicate that transgender people pose a heightened threat to anyone, much less cisgender women also seeking housing in shelters. Assuming the mere existence of transgender people in shelter spaces is a problem to be remedied furthers the negative and baseless stereotypes of transgender people as frightening and violent people. Changing a successful policy based on nebulous fears rather than empirical evidence is arbitrary and capricious.</w:t>
      </w:r>
      <w:r>
        <w:rPr>
          <w:vertAlign w:val="superscript"/>
        </w:rPr>
        <w:footnoteReference w:id="39"/>
      </w:r>
      <w:r>
        <w:t xml:space="preserve"> Although an agency ordinarily need not show that its proposed change in policy is superior to existing policy, it must do so when “its new policy rests upon factual findings [or, in this case, unfounded assumptions] that contradict those which underlay its prior policy . . . .”</w:t>
      </w:r>
      <w:r>
        <w:rPr>
          <w:vertAlign w:val="superscript"/>
        </w:rPr>
        <w:footnoteReference w:id="40"/>
      </w:r>
    </w:p>
    <w:p w14:paraId="0000003B" w14:textId="77777777" w:rsidR="001A4188" w:rsidRDefault="001A4188"/>
    <w:p w14:paraId="0000003C" w14:textId="77777777" w:rsidR="001A4188" w:rsidRDefault="00000000">
      <w:r>
        <w:t>In the Proposed Rule, the agency claims that it is attempting to enhance security.</w:t>
      </w:r>
      <w:r>
        <w:rPr>
          <w:vertAlign w:val="superscript"/>
        </w:rPr>
        <w:footnoteReference w:id="41"/>
      </w:r>
      <w:r>
        <w:t xml:space="preserve"> However, its claims are not supported by clear factual findings, and the agency does not explain how it drew its conclusions despite previously finding that “all individuals, including transgender persons and other gender nonconforming persons, can be safely accommodated in shelters and other </w:t>
      </w:r>
      <w:r>
        <w:lastRenderedPageBreak/>
        <w:t>buildings and facilities in accordance with their gender identity.”</w:t>
      </w:r>
      <w:r>
        <w:rPr>
          <w:vertAlign w:val="superscript"/>
        </w:rPr>
        <w:footnoteReference w:id="42"/>
      </w:r>
      <w:r>
        <w:t xml:space="preserve"> The Proposed Rule has no concrete examples to offer that would establish transgender women as in any way threatening the safety of cisgender women. Instead, the Proposed Rule states that cisgender men </w:t>
      </w:r>
      <w:r>
        <w:rPr>
          <w:i/>
          <w:iCs/>
        </w:rPr>
        <w:t>may</w:t>
      </w:r>
      <w:r>
        <w:t xml:space="preserve"> pretend to be transgender women to gain access to women’s shelters.</w:t>
      </w:r>
      <w:r>
        <w:rPr>
          <w:vertAlign w:val="superscript"/>
        </w:rPr>
        <w:footnoteReference w:id="43"/>
      </w:r>
      <w:r>
        <w:t xml:space="preserve"> Moreover, the Proposed Rule states that “[f]or many homeless women, even the perception that this could jeopardize their safety would harm them because, very reasonably, they would choose to remain homeless.”</w:t>
      </w:r>
      <w:r>
        <w:rPr>
          <w:vertAlign w:val="superscript"/>
        </w:rPr>
        <w:footnoteReference w:id="44"/>
      </w:r>
      <w:r>
        <w:t xml:space="preserve"> However, as already mentioned, the agency fails to identify any evidence to support these assumptions. </w:t>
      </w:r>
    </w:p>
    <w:p w14:paraId="0000003D" w14:textId="77777777" w:rsidR="001A4188" w:rsidRDefault="001A4188"/>
    <w:p w14:paraId="0000003E" w14:textId="0D380A4B" w:rsidR="001A4188" w:rsidRDefault="00000000">
      <w:r>
        <w:t>The Equal Access Rule already provides safeguards against harassment of people in shelters. Specifically, it explains that funding recipients, subrecipients, and shelter or facility owners, operators, managers, and providers can take appropriate steps to address threats to safety by implementing “proactive measures to reduce risks such as increasing the shelter’s security personnel, making adjustments to a facility’s operating policies and schedules, and modifying shelter facilities to provide a single occupant bathing facility.”</w:t>
      </w:r>
      <w:r>
        <w:rPr>
          <w:vertAlign w:val="superscript"/>
        </w:rPr>
        <w:footnoteReference w:id="45"/>
      </w:r>
      <w:r>
        <w:t xml:space="preserve"> Accordingly, </w:t>
      </w:r>
      <w:r>
        <w:rPr>
          <w:highlight w:val="yellow"/>
        </w:rPr>
        <w:t>we/I</w:t>
      </w:r>
      <w:r>
        <w:t xml:space="preserve"> urge HUD to reflect on its earlier recognition that “there are [always] security risks in operating shelters, but the obligation to provide for safety and security is not new, and the denial of equal access cannot be justified based on unfounded concerns about safety or security.”</w:t>
      </w:r>
      <w:r>
        <w:rPr>
          <w:vertAlign w:val="superscript"/>
        </w:rPr>
        <w:footnoteReference w:id="46"/>
      </w:r>
    </w:p>
    <w:p w14:paraId="0000003F" w14:textId="77777777" w:rsidR="001A4188" w:rsidRDefault="00000000">
      <w:pPr>
        <w:pStyle w:val="Heading1"/>
        <w:numPr>
          <w:ilvl w:val="0"/>
          <w:numId w:val="1"/>
        </w:numPr>
      </w:pPr>
      <w:r>
        <w:t>Conclusion</w:t>
      </w:r>
    </w:p>
    <w:p w14:paraId="00000040" w14:textId="77777777" w:rsidR="001A4188" w:rsidRDefault="00000000">
      <w:r>
        <w:t xml:space="preserve">Homelessness is a very real issue for transgender and intersex individuals living in the local </w:t>
      </w:r>
      <w:r>
        <w:rPr>
          <w:highlight w:val="yellow"/>
        </w:rPr>
        <w:t>[LOCATION]</w:t>
      </w:r>
      <w:r>
        <w:t xml:space="preserve"> community where </w:t>
      </w:r>
      <w:r>
        <w:rPr>
          <w:highlight w:val="yellow"/>
        </w:rPr>
        <w:t xml:space="preserve">[I/ORG NAME] </w:t>
      </w:r>
      <w:r>
        <w:t>reside</w:t>
      </w:r>
      <w:r>
        <w:rPr>
          <w:highlight w:val="yellow"/>
        </w:rPr>
        <w:t>[s]</w:t>
      </w:r>
      <w:r>
        <w:t xml:space="preserve">. Any policies which allow these at-risk communities to be further discriminated against and treated without the respect and dignity they deserve can only do further damage. Backward and insulting policies like the Proposed Rule that suggest ways to determine an individual’s gender identity by searching for certain characteristics to ultimately deny a person shelter are humiliating, harmful, and unjust. It is a fear of </w:t>
      </w:r>
      <w:r>
        <w:rPr>
          <w:highlight w:val="yellow"/>
        </w:rPr>
        <w:t>[MINE/ORG NAME]</w:t>
      </w:r>
      <w:r>
        <w:t xml:space="preserve"> and that of the community </w:t>
      </w:r>
      <w:r>
        <w:rPr>
          <w:highlight w:val="yellow"/>
        </w:rPr>
        <w:t>[it/I serve(s)]</w:t>
      </w:r>
      <w:r>
        <w:t xml:space="preserve"> that these types of policies will exacerbate what is already a housing crisis for those in the transgender community.</w:t>
      </w:r>
    </w:p>
    <w:p w14:paraId="00000041" w14:textId="77777777" w:rsidR="001A4188" w:rsidRDefault="001A4188"/>
    <w:p w14:paraId="00000042" w14:textId="77777777" w:rsidR="001A4188" w:rsidRDefault="00000000">
      <w:r>
        <w:t>Thank you for the opportunity to share my perspective. Please contact [</w:t>
      </w:r>
      <w:r>
        <w:rPr>
          <w:highlight w:val="yellow"/>
        </w:rPr>
        <w:t>insert contact name and information</w:t>
      </w:r>
      <w:r>
        <w:t xml:space="preserve">] regarding these comments. </w:t>
      </w:r>
    </w:p>
    <w:p w14:paraId="00000043" w14:textId="77777777" w:rsidR="001A4188" w:rsidRDefault="00000000">
      <w:r>
        <w:t xml:space="preserve"> </w:t>
      </w:r>
    </w:p>
    <w:p w14:paraId="00000044" w14:textId="77777777" w:rsidR="001A4188" w:rsidRDefault="00000000">
      <w:r>
        <w:t>Sincerely,</w:t>
      </w:r>
    </w:p>
    <w:p w14:paraId="00000045" w14:textId="77777777" w:rsidR="001A4188" w:rsidRDefault="00000000">
      <w:pPr>
        <w:rPr>
          <w:highlight w:val="yellow"/>
        </w:rPr>
      </w:pPr>
      <w:r>
        <w:rPr>
          <w:highlight w:val="yellow"/>
        </w:rPr>
        <w:t>[Name]</w:t>
      </w:r>
    </w:p>
    <w:p w14:paraId="00000046" w14:textId="77777777" w:rsidR="001A4188" w:rsidRDefault="00000000">
      <w:pPr>
        <w:rPr>
          <w:highlight w:val="yellow"/>
        </w:rPr>
      </w:pPr>
      <w:r>
        <w:rPr>
          <w:highlight w:val="yellow"/>
        </w:rPr>
        <w:t>[Title, if relevant]</w:t>
      </w:r>
    </w:p>
    <w:p w14:paraId="00000047" w14:textId="77777777" w:rsidR="001A4188" w:rsidRDefault="00000000">
      <w:pPr>
        <w:rPr>
          <w:highlight w:val="yellow"/>
        </w:rPr>
      </w:pPr>
      <w:r>
        <w:rPr>
          <w:highlight w:val="yellow"/>
        </w:rPr>
        <w:lastRenderedPageBreak/>
        <w:t>[Organization, if relevant]</w:t>
      </w:r>
    </w:p>
    <w:p w14:paraId="00000048" w14:textId="77777777" w:rsidR="001A4188" w:rsidRDefault="001A4188"/>
    <w:p w14:paraId="00000049" w14:textId="77777777" w:rsidR="001A4188" w:rsidRDefault="001A4188"/>
    <w:p w14:paraId="0000004A" w14:textId="77777777" w:rsidR="001A4188" w:rsidRDefault="001A4188"/>
    <w:p w14:paraId="0000004B" w14:textId="77777777" w:rsidR="001A4188" w:rsidRDefault="001A4188"/>
    <w:p w14:paraId="0000004C" w14:textId="77777777" w:rsidR="001A4188" w:rsidRDefault="001A4188"/>
    <w:p w14:paraId="0000004D" w14:textId="77777777" w:rsidR="001A4188" w:rsidRDefault="001A4188"/>
    <w:sectPr w:rsidR="001A4188">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7C436D" w14:textId="77777777" w:rsidR="0054710C" w:rsidRDefault="0054710C">
      <w:pPr>
        <w:spacing w:line="240" w:lineRule="auto"/>
      </w:pPr>
      <w:r>
        <w:separator/>
      </w:r>
    </w:p>
  </w:endnote>
  <w:endnote w:type="continuationSeparator" w:id="0">
    <w:p w14:paraId="5A47FCE8" w14:textId="77777777" w:rsidR="0054710C" w:rsidRDefault="0054710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Play">
    <w:charset w:val="00"/>
    <w:family w:val="auto"/>
    <w:pitch w:val="default"/>
    <w:embedRegular r:id="rId1" w:fontKey="{7F3122C8-E09E-4C62-A27C-376436D4893D}"/>
  </w:font>
  <w:font w:name="Calibri">
    <w:panose1 w:val="020F0502020204030204"/>
    <w:charset w:val="00"/>
    <w:family w:val="swiss"/>
    <w:pitch w:val="variable"/>
    <w:sig w:usb0="E4002EFF" w:usb1="C200247B" w:usb2="00000009" w:usb3="00000000" w:csb0="000001FF" w:csb1="00000000"/>
    <w:embedRegular r:id="rId2" w:fontKey="{29F5E1B9-EBE4-46E0-BE28-AEF9BD0127DA}"/>
  </w:font>
  <w:font w:name="Cambria">
    <w:panose1 w:val="02040503050406030204"/>
    <w:charset w:val="00"/>
    <w:family w:val="roman"/>
    <w:pitch w:val="variable"/>
    <w:sig w:usb0="E00006FF" w:usb1="420024FF" w:usb2="02000000" w:usb3="00000000" w:csb0="0000019F" w:csb1="00000000"/>
    <w:embedRegular r:id="rId3" w:fontKey="{AF48AC29-5C89-4C45-97F5-D592FFB83E15}"/>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0482D0C" w14:textId="77777777" w:rsidR="0054710C" w:rsidRDefault="0054710C">
      <w:pPr>
        <w:spacing w:line="240" w:lineRule="auto"/>
      </w:pPr>
      <w:r>
        <w:separator/>
      </w:r>
    </w:p>
  </w:footnote>
  <w:footnote w:type="continuationSeparator" w:id="0">
    <w:p w14:paraId="6042A0F5" w14:textId="77777777" w:rsidR="0054710C" w:rsidRDefault="0054710C">
      <w:pPr>
        <w:spacing w:line="240" w:lineRule="auto"/>
      </w:pPr>
      <w:r>
        <w:continuationSeparator/>
      </w:r>
    </w:p>
  </w:footnote>
  <w:footnote w:id="1">
    <w:p w14:paraId="0000004E" w14:textId="77777777" w:rsidR="001A4188" w:rsidRDefault="00000000">
      <w:pPr>
        <w:pBdr>
          <w:top w:val="nil"/>
          <w:left w:val="nil"/>
          <w:bottom w:val="nil"/>
          <w:right w:val="nil"/>
          <w:between w:val="nil"/>
        </w:pBdr>
        <w:spacing w:line="240" w:lineRule="auto"/>
        <w:rPr>
          <w:color w:val="000000"/>
          <w:sz w:val="20"/>
          <w:szCs w:val="20"/>
        </w:rPr>
      </w:pPr>
      <w:r>
        <w:rPr>
          <w:vertAlign w:val="superscript"/>
        </w:rPr>
        <w:footnoteRef/>
      </w:r>
      <w:r>
        <w:rPr>
          <w:color w:val="000000"/>
          <w:sz w:val="20"/>
          <w:szCs w:val="20"/>
        </w:rPr>
        <w:t xml:space="preserve"> Transgender, here, is used as an umbrella term that is inclusive of transgender, nonbinary, and gender-nonconforming people.</w:t>
      </w:r>
    </w:p>
  </w:footnote>
  <w:footnote w:id="2">
    <w:p w14:paraId="0000004F" w14:textId="77777777" w:rsidR="001A4188" w:rsidRDefault="00000000">
      <w:pPr>
        <w:pBdr>
          <w:top w:val="nil"/>
          <w:left w:val="nil"/>
          <w:bottom w:val="nil"/>
          <w:right w:val="nil"/>
          <w:between w:val="nil"/>
        </w:pBdr>
        <w:spacing w:line="240" w:lineRule="auto"/>
        <w:rPr>
          <w:color w:val="000000"/>
          <w:sz w:val="20"/>
          <w:szCs w:val="20"/>
        </w:rPr>
      </w:pPr>
      <w:r>
        <w:rPr>
          <w:vertAlign w:val="superscript"/>
        </w:rPr>
        <w:footnoteRef/>
      </w:r>
      <w:r>
        <w:rPr>
          <w:color w:val="000000"/>
          <w:sz w:val="20"/>
          <w:szCs w:val="20"/>
        </w:rPr>
        <w:t xml:space="preserve"> “Intersex” refers to differences in specific sex traits (e.g., external genitalia, internal reproductive organs, chromosomal karyotypes, and varied production of or responsiveness to hormones such as testosterone or estrogen) that people are born with or develop in childhood. </w:t>
      </w:r>
      <w:proofErr w:type="spellStart"/>
      <w:r>
        <w:rPr>
          <w:color w:val="000000"/>
          <w:sz w:val="20"/>
          <w:szCs w:val="20"/>
        </w:rPr>
        <w:t>interACT</w:t>
      </w:r>
      <w:proofErr w:type="spellEnd"/>
      <w:r>
        <w:rPr>
          <w:color w:val="000000"/>
          <w:sz w:val="20"/>
          <w:szCs w:val="20"/>
        </w:rPr>
        <w:t xml:space="preserve">, </w:t>
      </w:r>
      <w:proofErr w:type="gramStart"/>
      <w:r>
        <w:rPr>
          <w:i/>
          <w:iCs/>
          <w:color w:val="000000"/>
          <w:sz w:val="20"/>
          <w:szCs w:val="20"/>
        </w:rPr>
        <w:t>What</w:t>
      </w:r>
      <w:proofErr w:type="gramEnd"/>
      <w:r>
        <w:rPr>
          <w:i/>
          <w:iCs/>
          <w:color w:val="000000"/>
          <w:sz w:val="20"/>
          <w:szCs w:val="20"/>
        </w:rPr>
        <w:t xml:space="preserve"> is </w:t>
      </w:r>
      <w:proofErr w:type="gramStart"/>
      <w:r>
        <w:rPr>
          <w:i/>
          <w:iCs/>
          <w:color w:val="000000"/>
          <w:sz w:val="20"/>
          <w:szCs w:val="20"/>
        </w:rPr>
        <w:t>Intersex?</w:t>
      </w:r>
      <w:r>
        <w:rPr>
          <w:color w:val="000000"/>
          <w:sz w:val="20"/>
          <w:szCs w:val="20"/>
        </w:rPr>
        <w:t>,</w:t>
      </w:r>
      <w:proofErr w:type="gramEnd"/>
      <w:r>
        <w:rPr>
          <w:color w:val="000000"/>
          <w:sz w:val="20"/>
          <w:szCs w:val="20"/>
        </w:rPr>
        <w:t xml:space="preserve"> </w:t>
      </w:r>
      <w:hyperlink r:id="rId1" w:anchor="definition">
        <w:r>
          <w:rPr>
            <w:color w:val="467886"/>
            <w:sz w:val="20"/>
            <w:szCs w:val="20"/>
            <w:u w:val="single"/>
          </w:rPr>
          <w:t>https://interactadvocates.org/faq/#definition</w:t>
        </w:r>
      </w:hyperlink>
      <w:r>
        <w:rPr>
          <w:color w:val="000000"/>
          <w:sz w:val="20"/>
          <w:szCs w:val="20"/>
        </w:rPr>
        <w:t xml:space="preserve"> (last accessed: April 29, 2026).</w:t>
      </w:r>
    </w:p>
  </w:footnote>
  <w:footnote w:id="3">
    <w:p w14:paraId="00000050" w14:textId="77777777" w:rsidR="001A4188" w:rsidRDefault="00000000">
      <w:pPr>
        <w:pBdr>
          <w:top w:val="nil"/>
          <w:left w:val="nil"/>
          <w:bottom w:val="nil"/>
          <w:right w:val="nil"/>
          <w:between w:val="nil"/>
        </w:pBdr>
        <w:spacing w:line="240" w:lineRule="auto"/>
        <w:rPr>
          <w:color w:val="000000"/>
          <w:sz w:val="20"/>
          <w:szCs w:val="20"/>
        </w:rPr>
      </w:pPr>
      <w:r>
        <w:rPr>
          <w:vertAlign w:val="superscript"/>
        </w:rPr>
        <w:footnoteRef/>
      </w:r>
      <w:r>
        <w:rPr>
          <w:color w:val="000000"/>
          <w:sz w:val="20"/>
          <w:szCs w:val="20"/>
        </w:rPr>
        <w:t xml:space="preserve"> </w:t>
      </w:r>
      <w:r>
        <w:rPr>
          <w:i/>
          <w:iCs/>
          <w:color w:val="000000"/>
          <w:sz w:val="20"/>
          <w:szCs w:val="20"/>
        </w:rPr>
        <w:t xml:space="preserve">See </w:t>
      </w:r>
      <w:r>
        <w:rPr>
          <w:color w:val="000000"/>
          <w:sz w:val="20"/>
          <w:szCs w:val="20"/>
        </w:rPr>
        <w:t xml:space="preserve">United States Department of Housing and Urban Development, </w:t>
      </w:r>
      <w:r>
        <w:rPr>
          <w:i/>
          <w:iCs/>
          <w:color w:val="000000"/>
          <w:sz w:val="20"/>
          <w:szCs w:val="20"/>
        </w:rPr>
        <w:t>Examining Housing Experiences by Sexual Orientation and Gender Identity</w:t>
      </w:r>
      <w:r>
        <w:rPr>
          <w:color w:val="000000"/>
          <w:sz w:val="20"/>
          <w:szCs w:val="20"/>
        </w:rPr>
        <w:t xml:space="preserve"> (February 23, 2022), available at: </w:t>
      </w:r>
      <w:hyperlink r:id="rId2">
        <w:r>
          <w:rPr>
            <w:color w:val="467886"/>
            <w:sz w:val="20"/>
            <w:szCs w:val="20"/>
            <w:u w:val="single"/>
          </w:rPr>
          <w:t>https://tinyurl.com/y24mbapn</w:t>
        </w:r>
      </w:hyperlink>
      <w:r>
        <w:rPr>
          <w:color w:val="000000"/>
          <w:sz w:val="20"/>
          <w:szCs w:val="20"/>
        </w:rPr>
        <w:t>.</w:t>
      </w:r>
      <w:r>
        <w:rPr>
          <w:i/>
          <w:iCs/>
          <w:color w:val="000000"/>
          <w:sz w:val="20"/>
          <w:szCs w:val="20"/>
        </w:rPr>
        <w:t xml:space="preserve"> </w:t>
      </w:r>
    </w:p>
  </w:footnote>
  <w:footnote w:id="4">
    <w:p w14:paraId="00000051" w14:textId="77777777" w:rsidR="001A4188" w:rsidRDefault="00000000">
      <w:pPr>
        <w:pBdr>
          <w:top w:val="nil"/>
          <w:left w:val="nil"/>
          <w:bottom w:val="nil"/>
          <w:right w:val="nil"/>
          <w:between w:val="nil"/>
        </w:pBdr>
        <w:spacing w:line="240" w:lineRule="auto"/>
        <w:rPr>
          <w:color w:val="000000"/>
          <w:sz w:val="20"/>
          <w:szCs w:val="20"/>
        </w:rPr>
      </w:pPr>
      <w:r>
        <w:rPr>
          <w:vertAlign w:val="superscript"/>
        </w:rPr>
        <w:footnoteRef/>
      </w:r>
      <w:r>
        <w:rPr>
          <w:color w:val="000000"/>
          <w:sz w:val="20"/>
          <w:szCs w:val="20"/>
        </w:rPr>
        <w:t xml:space="preserve"> HUD Exchange, LGBTQ Homelessness, available at: </w:t>
      </w:r>
      <w:hyperlink r:id="rId3">
        <w:r>
          <w:rPr>
            <w:color w:val="467886"/>
            <w:sz w:val="20"/>
            <w:szCs w:val="20"/>
            <w:u w:val="single"/>
          </w:rPr>
          <w:t>https://tinyurl.com/2rdr6awu</w:t>
        </w:r>
      </w:hyperlink>
      <w:r>
        <w:rPr>
          <w:color w:val="000000"/>
          <w:sz w:val="20"/>
          <w:szCs w:val="20"/>
        </w:rPr>
        <w:t xml:space="preserve"> (archival link last accessed: May 6, 2026). </w:t>
      </w:r>
    </w:p>
  </w:footnote>
  <w:footnote w:id="5">
    <w:p w14:paraId="00000052" w14:textId="77777777" w:rsidR="001A4188" w:rsidRDefault="00000000">
      <w:pPr>
        <w:pBdr>
          <w:top w:val="nil"/>
          <w:left w:val="nil"/>
          <w:bottom w:val="nil"/>
          <w:right w:val="nil"/>
          <w:between w:val="nil"/>
        </w:pBdr>
        <w:spacing w:line="240" w:lineRule="auto"/>
        <w:rPr>
          <w:color w:val="000000"/>
          <w:sz w:val="20"/>
          <w:szCs w:val="20"/>
        </w:rPr>
      </w:pPr>
      <w:r>
        <w:rPr>
          <w:vertAlign w:val="superscript"/>
        </w:rPr>
        <w:footnoteRef/>
      </w:r>
      <w:r>
        <w:rPr>
          <w:color w:val="000000"/>
          <w:sz w:val="20"/>
          <w:szCs w:val="20"/>
        </w:rPr>
        <w:t xml:space="preserve"> S. E. James et al., </w:t>
      </w:r>
      <w:r>
        <w:rPr>
          <w:i/>
          <w:iCs/>
          <w:color w:val="000000"/>
          <w:sz w:val="20"/>
          <w:szCs w:val="20"/>
        </w:rPr>
        <w:t>The Report of the 2015 U.S. Transgender Survey</w:t>
      </w:r>
      <w:r>
        <w:rPr>
          <w:color w:val="000000"/>
          <w:sz w:val="20"/>
          <w:szCs w:val="20"/>
        </w:rPr>
        <w:t xml:space="preserve"> 13 (National Center for Transgender Equality 2016).</w:t>
      </w:r>
    </w:p>
  </w:footnote>
  <w:footnote w:id="6">
    <w:p w14:paraId="00000053" w14:textId="77777777" w:rsidR="001A4188" w:rsidRDefault="00000000">
      <w:pPr>
        <w:pBdr>
          <w:top w:val="nil"/>
          <w:left w:val="nil"/>
          <w:bottom w:val="nil"/>
          <w:right w:val="nil"/>
          <w:between w:val="nil"/>
        </w:pBdr>
        <w:spacing w:line="240" w:lineRule="auto"/>
        <w:rPr>
          <w:color w:val="000000"/>
          <w:sz w:val="20"/>
          <w:szCs w:val="20"/>
        </w:rPr>
      </w:pPr>
      <w:r>
        <w:rPr>
          <w:vertAlign w:val="superscript"/>
        </w:rPr>
        <w:footnoteRef/>
      </w:r>
      <w:r>
        <w:rPr>
          <w:color w:val="000000"/>
          <w:sz w:val="20"/>
          <w:szCs w:val="20"/>
        </w:rPr>
        <w:t xml:space="preserve"> </w:t>
      </w:r>
      <w:r>
        <w:rPr>
          <w:i/>
          <w:iCs/>
          <w:color w:val="000000"/>
          <w:sz w:val="20"/>
          <w:szCs w:val="20"/>
        </w:rPr>
        <w:t>Transgender Homeless Adults and Unsheltered Homelessness: What the Data Tells Us</w:t>
      </w:r>
      <w:r>
        <w:rPr>
          <w:color w:val="000000"/>
          <w:sz w:val="20"/>
          <w:szCs w:val="20"/>
        </w:rPr>
        <w:t xml:space="preserve">, National Alliance to End Homelessness (July 24, 2020), available at: </w:t>
      </w:r>
      <w:hyperlink r:id="rId4">
        <w:r>
          <w:rPr>
            <w:color w:val="467886"/>
            <w:sz w:val="20"/>
            <w:szCs w:val="20"/>
            <w:u w:val="single"/>
          </w:rPr>
          <w:t>https://endhomelessness.org/resources/research-and-analysis/transgender-homeless-adults-unsheltered-homelessness-what-the-data-tell-us/</w:t>
        </w:r>
      </w:hyperlink>
      <w:r>
        <w:rPr>
          <w:color w:val="000000"/>
          <w:sz w:val="20"/>
          <w:szCs w:val="20"/>
        </w:rPr>
        <w:t xml:space="preserve">.; </w:t>
      </w:r>
      <w:r>
        <w:rPr>
          <w:i/>
          <w:iCs/>
          <w:color w:val="000000"/>
          <w:sz w:val="20"/>
          <w:szCs w:val="20"/>
        </w:rPr>
        <w:t>How the Equal Access Rule Can Protect Trans People and Sex Workers</w:t>
      </w:r>
      <w:r>
        <w:rPr>
          <w:color w:val="000000"/>
          <w:sz w:val="20"/>
          <w:szCs w:val="20"/>
        </w:rPr>
        <w:t xml:space="preserve"> (National Alliance to End Homelessness 2025), available at: </w:t>
      </w:r>
      <w:hyperlink r:id="rId5">
        <w:r>
          <w:rPr>
            <w:color w:val="467886"/>
            <w:sz w:val="20"/>
            <w:szCs w:val="20"/>
            <w:u w:val="single"/>
          </w:rPr>
          <w:t>https://endhomelessness.org/blog/how-the-equal-access-rule-can-protect-trans-people-and-sex-workers/</w:t>
        </w:r>
      </w:hyperlink>
      <w:r>
        <w:rPr>
          <w:color w:val="000000"/>
          <w:sz w:val="20"/>
          <w:szCs w:val="20"/>
        </w:rPr>
        <w:t xml:space="preserve"> </w:t>
      </w:r>
    </w:p>
  </w:footnote>
  <w:footnote w:id="7">
    <w:p w14:paraId="00000054" w14:textId="77777777" w:rsidR="001A4188" w:rsidRDefault="00000000">
      <w:pPr>
        <w:pBdr>
          <w:top w:val="nil"/>
          <w:left w:val="nil"/>
          <w:bottom w:val="nil"/>
          <w:right w:val="nil"/>
          <w:between w:val="nil"/>
        </w:pBdr>
        <w:spacing w:line="240" w:lineRule="auto"/>
        <w:rPr>
          <w:color w:val="000000"/>
          <w:sz w:val="20"/>
          <w:szCs w:val="20"/>
        </w:rPr>
      </w:pPr>
      <w:r>
        <w:rPr>
          <w:vertAlign w:val="superscript"/>
        </w:rPr>
        <w:footnoteRef/>
      </w:r>
      <w:r>
        <w:rPr>
          <w:color w:val="000000"/>
          <w:sz w:val="20"/>
          <w:szCs w:val="20"/>
        </w:rPr>
        <w:t xml:space="preserve"> B. D. M. Wilson, et al., </w:t>
      </w:r>
      <w:r>
        <w:rPr>
          <w:i/>
          <w:iCs/>
          <w:color w:val="000000"/>
          <w:sz w:val="20"/>
          <w:szCs w:val="20"/>
        </w:rPr>
        <w:t>Homelessness among LGBT adults in the U.S. Los Angeles</w:t>
      </w:r>
      <w:r>
        <w:rPr>
          <w:color w:val="000000"/>
          <w:sz w:val="20"/>
          <w:szCs w:val="20"/>
        </w:rPr>
        <w:t xml:space="preserve"> 3 (Williams Institute</w:t>
      </w:r>
      <w:r>
        <w:rPr>
          <w:smallCaps/>
          <w:color w:val="000000"/>
          <w:sz w:val="20"/>
          <w:szCs w:val="20"/>
        </w:rPr>
        <w:t xml:space="preserve"> </w:t>
      </w:r>
      <w:r>
        <w:rPr>
          <w:color w:val="000000"/>
          <w:sz w:val="20"/>
          <w:szCs w:val="20"/>
        </w:rPr>
        <w:t xml:space="preserve">2020), available at: </w:t>
      </w:r>
      <w:hyperlink r:id="rId6">
        <w:r>
          <w:rPr>
            <w:color w:val="467886"/>
            <w:sz w:val="20"/>
            <w:szCs w:val="20"/>
            <w:u w:val="single"/>
          </w:rPr>
          <w:t>https://williamsinstitute.law.ucla.edu/wp-content/uploads/LGBT-Homelessness-May-2020.pdf</w:t>
        </w:r>
      </w:hyperlink>
      <w:r>
        <w:rPr>
          <w:color w:val="000000"/>
          <w:sz w:val="20"/>
          <w:szCs w:val="20"/>
        </w:rPr>
        <w:t xml:space="preserve">. </w:t>
      </w:r>
    </w:p>
  </w:footnote>
  <w:footnote w:id="8">
    <w:p w14:paraId="0000007C" w14:textId="77777777" w:rsidR="001A4188" w:rsidRDefault="00000000">
      <w:pPr>
        <w:spacing w:line="240" w:lineRule="auto"/>
        <w:rPr>
          <w:sz w:val="20"/>
          <w:szCs w:val="20"/>
        </w:rPr>
      </w:pPr>
      <w:r>
        <w:rPr>
          <w:vertAlign w:val="superscript"/>
        </w:rPr>
        <w:footnoteRef/>
      </w:r>
      <w:r>
        <w:rPr>
          <w:sz w:val="20"/>
          <w:szCs w:val="20"/>
        </w:rPr>
        <w:t xml:space="preserve"> The Trevor Project, </w:t>
      </w:r>
      <w:r>
        <w:rPr>
          <w:i/>
          <w:iCs/>
          <w:sz w:val="20"/>
          <w:szCs w:val="20"/>
        </w:rPr>
        <w:t>The Mental Health and Well-being of LGBTQ Youth who are Intersex</w:t>
      </w:r>
      <w:r>
        <w:rPr>
          <w:sz w:val="20"/>
          <w:szCs w:val="20"/>
        </w:rPr>
        <w:t xml:space="preserve"> (December 2021), available at: </w:t>
      </w:r>
      <w:hyperlink r:id="rId7">
        <w:r>
          <w:rPr>
            <w:color w:val="1155CC"/>
            <w:sz w:val="20"/>
            <w:szCs w:val="20"/>
            <w:u w:val="single"/>
          </w:rPr>
          <w:t>https://www.thetrevorproject.org/wp-content/uploads/2021/12/Intersex-Youth-Mental-Health-Report.pdf</w:t>
        </w:r>
      </w:hyperlink>
      <w:r>
        <w:rPr>
          <w:sz w:val="20"/>
          <w:szCs w:val="20"/>
        </w:rPr>
        <w:t xml:space="preserve"> (defining housing instability as experiencing homelessness, having been kicked out of their home, or having run away). </w:t>
      </w:r>
    </w:p>
  </w:footnote>
  <w:footnote w:id="9">
    <w:p w14:paraId="0000007D" w14:textId="77777777" w:rsidR="001A4188" w:rsidRDefault="00000000">
      <w:pPr>
        <w:spacing w:line="240" w:lineRule="auto"/>
        <w:rPr>
          <w:sz w:val="20"/>
          <w:szCs w:val="20"/>
        </w:rPr>
      </w:pPr>
      <w:r>
        <w:rPr>
          <w:vertAlign w:val="superscript"/>
        </w:rPr>
        <w:footnoteRef/>
      </w:r>
      <w:r>
        <w:rPr>
          <w:sz w:val="20"/>
          <w:szCs w:val="20"/>
        </w:rPr>
        <w:t xml:space="preserve"> Caroline Medina &amp; Lindsay Mahowald, </w:t>
      </w:r>
      <w:r>
        <w:rPr>
          <w:i/>
          <w:iCs/>
          <w:sz w:val="20"/>
          <w:szCs w:val="20"/>
        </w:rPr>
        <w:t xml:space="preserve">Key Issues Facing People with Intersex Traits </w:t>
      </w:r>
      <w:r>
        <w:rPr>
          <w:sz w:val="20"/>
          <w:szCs w:val="20"/>
        </w:rPr>
        <w:t>(Center for American Progress 2021), available at: https://www.americanprogress.org/article/key-issues-facing-people-intersex-traits/</w:t>
      </w:r>
    </w:p>
  </w:footnote>
  <w:footnote w:id="10">
    <w:p w14:paraId="00000055" w14:textId="77777777" w:rsidR="001A4188" w:rsidRDefault="00000000">
      <w:pPr>
        <w:pBdr>
          <w:top w:val="nil"/>
          <w:left w:val="nil"/>
          <w:bottom w:val="nil"/>
          <w:right w:val="nil"/>
          <w:between w:val="nil"/>
        </w:pBdr>
        <w:spacing w:line="240" w:lineRule="auto"/>
        <w:rPr>
          <w:color w:val="000000"/>
          <w:sz w:val="20"/>
          <w:szCs w:val="20"/>
        </w:rPr>
      </w:pPr>
      <w:r>
        <w:rPr>
          <w:vertAlign w:val="superscript"/>
        </w:rPr>
        <w:footnoteRef/>
      </w:r>
      <w:r>
        <w:rPr>
          <w:color w:val="000000"/>
          <w:sz w:val="20"/>
          <w:szCs w:val="20"/>
        </w:rPr>
        <w:t xml:space="preserve"> </w:t>
      </w:r>
      <w:r>
        <w:rPr>
          <w:i/>
          <w:iCs/>
          <w:color w:val="000000"/>
          <w:sz w:val="20"/>
          <w:szCs w:val="20"/>
        </w:rPr>
        <w:t>E.g.</w:t>
      </w:r>
      <w:r>
        <w:rPr>
          <w:color w:val="000000"/>
          <w:sz w:val="20"/>
          <w:szCs w:val="20"/>
        </w:rPr>
        <w:t xml:space="preserve">, M. Fuentes, et al., </w:t>
      </w:r>
      <w:r>
        <w:rPr>
          <w:i/>
          <w:iCs/>
          <w:color w:val="000000"/>
          <w:sz w:val="20"/>
          <w:szCs w:val="20"/>
        </w:rPr>
        <w:t>A Quality of Life Study with Transgender, Gender Nonconforming, and Intersex (TGI) Adults in the City of Los Angeles</w:t>
      </w:r>
      <w:r>
        <w:rPr>
          <w:color w:val="000000"/>
          <w:sz w:val="20"/>
          <w:szCs w:val="20"/>
        </w:rPr>
        <w:t xml:space="preserve"> 19 (Williams Institute</w:t>
      </w:r>
      <w:r>
        <w:rPr>
          <w:smallCaps/>
          <w:color w:val="000000"/>
          <w:sz w:val="20"/>
          <w:szCs w:val="20"/>
        </w:rPr>
        <w:t xml:space="preserve"> </w:t>
      </w:r>
      <w:r>
        <w:rPr>
          <w:color w:val="000000"/>
          <w:sz w:val="20"/>
          <w:szCs w:val="20"/>
        </w:rPr>
        <w:t xml:space="preserve">2023), available at: </w:t>
      </w:r>
      <w:hyperlink r:id="rId8">
        <w:r>
          <w:rPr>
            <w:color w:val="467886"/>
            <w:sz w:val="20"/>
            <w:szCs w:val="20"/>
            <w:u w:val="single"/>
          </w:rPr>
          <w:t>https://williamsinstitute.law.ucla.edu/wp-content/uploads/TGI-QOL-LA-Nov-2023.pdf</w:t>
        </w:r>
      </w:hyperlink>
      <w:r>
        <w:rPr>
          <w:color w:val="000000"/>
          <w:sz w:val="20"/>
          <w:szCs w:val="20"/>
        </w:rPr>
        <w:t xml:space="preserve"> (reporting that transgender, gender-nonconforming, and intersex people in Los Angeles expressed that housing was “among the issues where [they encountered] the most challenges, encompassing both access to rentals and emergency shelter.”).</w:t>
      </w:r>
    </w:p>
  </w:footnote>
  <w:footnote w:id="11">
    <w:p w14:paraId="00000056" w14:textId="77777777" w:rsidR="001A4188" w:rsidRDefault="00000000">
      <w:pPr>
        <w:pBdr>
          <w:top w:val="nil"/>
          <w:left w:val="nil"/>
          <w:bottom w:val="nil"/>
          <w:right w:val="nil"/>
          <w:between w:val="nil"/>
        </w:pBdr>
        <w:spacing w:line="240" w:lineRule="auto"/>
        <w:rPr>
          <w:color w:val="000000"/>
          <w:sz w:val="20"/>
          <w:szCs w:val="20"/>
        </w:rPr>
      </w:pPr>
      <w:r>
        <w:rPr>
          <w:vertAlign w:val="superscript"/>
        </w:rPr>
        <w:footnoteRef/>
      </w:r>
      <w:r>
        <w:rPr>
          <w:color w:val="000000"/>
          <w:sz w:val="20"/>
          <w:szCs w:val="20"/>
        </w:rPr>
        <w:t xml:space="preserve"> James et al., </w:t>
      </w:r>
      <w:r>
        <w:rPr>
          <w:i/>
          <w:iCs/>
          <w:color w:val="000000"/>
          <w:sz w:val="20"/>
          <w:szCs w:val="20"/>
        </w:rPr>
        <w:t>supra</w:t>
      </w:r>
      <w:r>
        <w:rPr>
          <w:color w:val="000000"/>
          <w:sz w:val="20"/>
          <w:szCs w:val="20"/>
        </w:rPr>
        <w:t xml:space="preserve"> note 5, at 176.</w:t>
      </w:r>
    </w:p>
  </w:footnote>
  <w:footnote w:id="12">
    <w:p w14:paraId="00000057" w14:textId="77777777" w:rsidR="001A4188" w:rsidRDefault="00000000">
      <w:pPr>
        <w:pBdr>
          <w:top w:val="nil"/>
          <w:left w:val="nil"/>
          <w:bottom w:val="nil"/>
          <w:right w:val="nil"/>
          <w:between w:val="nil"/>
        </w:pBdr>
        <w:spacing w:line="240" w:lineRule="auto"/>
        <w:rPr>
          <w:color w:val="000000"/>
          <w:sz w:val="20"/>
          <w:szCs w:val="20"/>
        </w:rPr>
      </w:pPr>
      <w:r>
        <w:rPr>
          <w:vertAlign w:val="superscript"/>
        </w:rPr>
        <w:footnoteRef/>
      </w:r>
      <w:r>
        <w:rPr>
          <w:color w:val="000000"/>
          <w:sz w:val="20"/>
          <w:szCs w:val="20"/>
        </w:rPr>
        <w:t xml:space="preserve"> </w:t>
      </w:r>
      <w:r>
        <w:rPr>
          <w:i/>
          <w:iCs/>
          <w:color w:val="000000"/>
          <w:sz w:val="20"/>
          <w:szCs w:val="20"/>
        </w:rPr>
        <w:t>Id.</w:t>
      </w:r>
    </w:p>
  </w:footnote>
  <w:footnote w:id="13">
    <w:p w14:paraId="00000058" w14:textId="77777777" w:rsidR="001A4188" w:rsidRDefault="00000000">
      <w:pPr>
        <w:pBdr>
          <w:top w:val="nil"/>
          <w:left w:val="nil"/>
          <w:bottom w:val="nil"/>
          <w:right w:val="nil"/>
          <w:between w:val="nil"/>
        </w:pBdr>
        <w:spacing w:line="240" w:lineRule="auto"/>
        <w:rPr>
          <w:color w:val="000000"/>
          <w:sz w:val="20"/>
          <w:szCs w:val="20"/>
        </w:rPr>
      </w:pPr>
      <w:r>
        <w:rPr>
          <w:vertAlign w:val="superscript"/>
        </w:rPr>
        <w:footnoteRef/>
      </w:r>
      <w:r>
        <w:rPr>
          <w:color w:val="000000"/>
          <w:sz w:val="20"/>
          <w:szCs w:val="20"/>
        </w:rPr>
        <w:t xml:space="preserve"> 81 Fed. Reg. 64764.</w:t>
      </w:r>
    </w:p>
  </w:footnote>
  <w:footnote w:id="14">
    <w:p w14:paraId="00000059" w14:textId="77777777" w:rsidR="001A4188" w:rsidRDefault="00000000">
      <w:pPr>
        <w:pBdr>
          <w:top w:val="nil"/>
          <w:left w:val="nil"/>
          <w:bottom w:val="nil"/>
          <w:right w:val="nil"/>
          <w:between w:val="nil"/>
        </w:pBdr>
        <w:spacing w:line="240" w:lineRule="auto"/>
        <w:rPr>
          <w:color w:val="000000"/>
          <w:sz w:val="20"/>
          <w:szCs w:val="20"/>
        </w:rPr>
      </w:pPr>
      <w:r>
        <w:rPr>
          <w:vertAlign w:val="superscript"/>
        </w:rPr>
        <w:footnoteRef/>
      </w:r>
      <w:r>
        <w:rPr>
          <w:color w:val="000000"/>
          <w:sz w:val="20"/>
          <w:szCs w:val="20"/>
        </w:rPr>
        <w:t xml:space="preserve"> 81 Fed. Reg. 64765 (citing Caitlin Rooney, et al., </w:t>
      </w:r>
      <w:r>
        <w:rPr>
          <w:i/>
          <w:iCs/>
          <w:color w:val="000000"/>
          <w:sz w:val="20"/>
          <w:szCs w:val="20"/>
        </w:rPr>
        <w:t>Discrimination Against Transgender Women Seeking Access to Homeless Shelters</w:t>
      </w:r>
      <w:r>
        <w:rPr>
          <w:color w:val="000000"/>
          <w:sz w:val="20"/>
          <w:szCs w:val="20"/>
        </w:rPr>
        <w:t xml:space="preserve"> (Center for American Progress and the Equal Rights Center 2016), available at: </w:t>
      </w:r>
      <w:hyperlink r:id="rId9">
        <w:r>
          <w:rPr>
            <w:color w:val="467886"/>
            <w:sz w:val="20"/>
            <w:szCs w:val="20"/>
            <w:u w:val="single"/>
          </w:rPr>
          <w:t>https://cdn.americanprogress.org/wp-content/uploads/2016/01/06113001/HomelessTransgender.pdf</w:t>
        </w:r>
      </w:hyperlink>
      <w:r>
        <w:rPr>
          <w:color w:val="000000"/>
          <w:sz w:val="20"/>
          <w:szCs w:val="20"/>
        </w:rPr>
        <w:t>).</w:t>
      </w:r>
    </w:p>
  </w:footnote>
  <w:footnote w:id="15">
    <w:p w14:paraId="0000005A" w14:textId="77777777" w:rsidR="001A4188" w:rsidRDefault="00000000">
      <w:pPr>
        <w:pBdr>
          <w:top w:val="nil"/>
          <w:left w:val="nil"/>
          <w:bottom w:val="nil"/>
          <w:right w:val="nil"/>
          <w:between w:val="nil"/>
        </w:pBdr>
        <w:spacing w:line="240" w:lineRule="auto"/>
        <w:rPr>
          <w:color w:val="000000"/>
          <w:sz w:val="20"/>
          <w:szCs w:val="20"/>
        </w:rPr>
      </w:pPr>
      <w:r>
        <w:rPr>
          <w:vertAlign w:val="superscript"/>
        </w:rPr>
        <w:footnoteRef/>
      </w:r>
      <w:r>
        <w:rPr>
          <w:color w:val="000000"/>
          <w:sz w:val="20"/>
          <w:szCs w:val="20"/>
        </w:rPr>
        <w:t xml:space="preserve"> L. Mahowald, et al, </w:t>
      </w:r>
      <w:r>
        <w:rPr>
          <w:i/>
          <w:iCs/>
          <w:color w:val="000000"/>
          <w:sz w:val="20"/>
          <w:szCs w:val="20"/>
        </w:rPr>
        <w:t>The State of the LGBTQ Community in 2020: A National Public Opinion Study</w:t>
      </w:r>
      <w:r>
        <w:rPr>
          <w:color w:val="000000"/>
          <w:sz w:val="20"/>
          <w:szCs w:val="20"/>
        </w:rPr>
        <w:t xml:space="preserve"> 14-15 (Center for American Progress</w:t>
      </w:r>
      <w:r>
        <w:rPr>
          <w:smallCaps/>
          <w:color w:val="000000"/>
          <w:sz w:val="20"/>
          <w:szCs w:val="20"/>
        </w:rPr>
        <w:t xml:space="preserve"> </w:t>
      </w:r>
      <w:r>
        <w:rPr>
          <w:color w:val="000000"/>
          <w:sz w:val="20"/>
          <w:szCs w:val="20"/>
        </w:rPr>
        <w:t xml:space="preserve">2020), available at: </w:t>
      </w:r>
      <w:hyperlink r:id="rId10">
        <w:r>
          <w:rPr>
            <w:color w:val="467886"/>
            <w:sz w:val="20"/>
            <w:szCs w:val="20"/>
            <w:u w:val="single"/>
          </w:rPr>
          <w:t>https://cdn.americanprogress.org/content/uploads/2020/10/02103624/LGBTQpoll-report.pdf</w:t>
        </w:r>
      </w:hyperlink>
      <w:r>
        <w:rPr>
          <w:color w:val="000000"/>
          <w:sz w:val="20"/>
          <w:szCs w:val="20"/>
        </w:rPr>
        <w:t xml:space="preserve">. </w:t>
      </w:r>
    </w:p>
  </w:footnote>
  <w:footnote w:id="16">
    <w:p w14:paraId="0000005B" w14:textId="77777777" w:rsidR="001A4188" w:rsidRDefault="00000000">
      <w:pPr>
        <w:pBdr>
          <w:top w:val="nil"/>
          <w:left w:val="nil"/>
          <w:bottom w:val="nil"/>
          <w:right w:val="nil"/>
          <w:between w:val="nil"/>
        </w:pBdr>
        <w:spacing w:line="240" w:lineRule="auto"/>
        <w:rPr>
          <w:color w:val="000000"/>
          <w:sz w:val="20"/>
          <w:szCs w:val="20"/>
        </w:rPr>
      </w:pPr>
      <w:r>
        <w:rPr>
          <w:vertAlign w:val="superscript"/>
        </w:rPr>
        <w:footnoteRef/>
      </w:r>
      <w:r>
        <w:rPr>
          <w:color w:val="000000"/>
          <w:sz w:val="20"/>
          <w:szCs w:val="20"/>
        </w:rPr>
        <w:t xml:space="preserve"> Robbie Sequeira, </w:t>
      </w:r>
      <w:r>
        <w:rPr>
          <w:i/>
          <w:iCs/>
          <w:color w:val="000000"/>
          <w:sz w:val="20"/>
          <w:szCs w:val="20"/>
        </w:rPr>
        <w:t>Trump Administration Proposes Rolling Back Gender Identity Protections in Federal Housing</w:t>
      </w:r>
      <w:r>
        <w:rPr>
          <w:color w:val="000000"/>
          <w:sz w:val="20"/>
          <w:szCs w:val="20"/>
        </w:rPr>
        <w:t xml:space="preserve"> (Stateline</w:t>
      </w:r>
      <w:r>
        <w:rPr>
          <w:smallCaps/>
          <w:color w:val="000000"/>
          <w:sz w:val="20"/>
          <w:szCs w:val="20"/>
        </w:rPr>
        <w:t xml:space="preserve"> </w:t>
      </w:r>
      <w:r>
        <w:rPr>
          <w:color w:val="000000"/>
          <w:sz w:val="20"/>
          <w:szCs w:val="20"/>
        </w:rPr>
        <w:t xml:space="preserve">2026), available at </w:t>
      </w:r>
      <w:hyperlink r:id="rId11">
        <w:r>
          <w:rPr>
            <w:color w:val="467886"/>
            <w:sz w:val="20"/>
            <w:szCs w:val="20"/>
            <w:u w:val="single"/>
          </w:rPr>
          <w:t>https://stateline.org/2026/04/28/trump-administration-proposes-rolling-back-gender-identity-protections-in-federal-housing/</w:t>
        </w:r>
      </w:hyperlink>
      <w:r>
        <w:rPr>
          <w:color w:val="000000"/>
          <w:sz w:val="20"/>
          <w:szCs w:val="20"/>
        </w:rPr>
        <w:t xml:space="preserve">. </w:t>
      </w:r>
    </w:p>
  </w:footnote>
  <w:footnote w:id="17">
    <w:p w14:paraId="0000005C" w14:textId="77777777" w:rsidR="001A4188" w:rsidRDefault="00000000">
      <w:pPr>
        <w:pBdr>
          <w:top w:val="nil"/>
          <w:left w:val="nil"/>
          <w:bottom w:val="nil"/>
          <w:right w:val="nil"/>
          <w:between w:val="nil"/>
        </w:pBdr>
        <w:spacing w:line="240" w:lineRule="auto"/>
        <w:rPr>
          <w:color w:val="000000"/>
          <w:sz w:val="20"/>
          <w:szCs w:val="20"/>
        </w:rPr>
      </w:pPr>
      <w:r>
        <w:rPr>
          <w:vertAlign w:val="superscript"/>
        </w:rPr>
        <w:footnoteRef/>
      </w:r>
      <w:r>
        <w:rPr>
          <w:color w:val="000000"/>
          <w:sz w:val="20"/>
          <w:szCs w:val="20"/>
        </w:rPr>
        <w:t xml:space="preserve"> James et al., </w:t>
      </w:r>
      <w:r>
        <w:rPr>
          <w:i/>
          <w:iCs/>
          <w:color w:val="000000"/>
          <w:sz w:val="20"/>
          <w:szCs w:val="20"/>
        </w:rPr>
        <w:t>supra</w:t>
      </w:r>
      <w:r>
        <w:rPr>
          <w:color w:val="000000"/>
          <w:sz w:val="20"/>
          <w:szCs w:val="20"/>
        </w:rPr>
        <w:t xml:space="preserve"> note 5, at 87.</w:t>
      </w:r>
    </w:p>
  </w:footnote>
  <w:footnote w:id="18">
    <w:p w14:paraId="0000007E" w14:textId="77777777" w:rsidR="001A4188" w:rsidRDefault="00000000">
      <w:pPr>
        <w:spacing w:line="240" w:lineRule="auto"/>
        <w:rPr>
          <w:sz w:val="20"/>
          <w:szCs w:val="20"/>
        </w:rPr>
      </w:pPr>
      <w:r>
        <w:rPr>
          <w:vertAlign w:val="superscript"/>
        </w:rPr>
        <w:footnoteRef/>
      </w:r>
      <w:r>
        <w:rPr>
          <w:sz w:val="20"/>
          <w:szCs w:val="20"/>
        </w:rPr>
        <w:t xml:space="preserve"> </w:t>
      </w:r>
      <w:r>
        <w:rPr>
          <w:i/>
          <w:iCs/>
          <w:sz w:val="20"/>
          <w:szCs w:val="20"/>
        </w:rPr>
        <w:t xml:space="preserve">See, e.g., </w:t>
      </w:r>
      <w:r>
        <w:rPr>
          <w:sz w:val="20"/>
          <w:szCs w:val="20"/>
        </w:rPr>
        <w:t xml:space="preserve">Medina &amp; Mahowald, </w:t>
      </w:r>
      <w:r>
        <w:rPr>
          <w:i/>
          <w:iCs/>
          <w:sz w:val="20"/>
          <w:szCs w:val="20"/>
        </w:rPr>
        <w:t xml:space="preserve">supra </w:t>
      </w:r>
      <w:r>
        <w:rPr>
          <w:sz w:val="20"/>
          <w:szCs w:val="20"/>
        </w:rPr>
        <w:t xml:space="preserve">note 9 (reporting that, of intersex LGBTQ people who had experienced discrimination in the year prior to the survey, 77% said that discrimination had impacted their ability to get accurate ID documents). </w:t>
      </w:r>
    </w:p>
  </w:footnote>
  <w:footnote w:id="19">
    <w:p w14:paraId="0000005D" w14:textId="77777777" w:rsidR="001A4188" w:rsidRDefault="00000000">
      <w:pPr>
        <w:pBdr>
          <w:top w:val="nil"/>
          <w:left w:val="nil"/>
          <w:bottom w:val="nil"/>
          <w:right w:val="nil"/>
          <w:between w:val="nil"/>
        </w:pBdr>
        <w:spacing w:line="240" w:lineRule="auto"/>
        <w:rPr>
          <w:color w:val="000000"/>
          <w:sz w:val="20"/>
          <w:szCs w:val="20"/>
        </w:rPr>
      </w:pPr>
      <w:r>
        <w:rPr>
          <w:vertAlign w:val="superscript"/>
        </w:rPr>
        <w:footnoteRef/>
      </w:r>
      <w:r>
        <w:rPr>
          <w:color w:val="000000"/>
          <w:sz w:val="20"/>
          <w:szCs w:val="20"/>
        </w:rPr>
        <w:t xml:space="preserve"> People with this variation ordinarily have testes and an XY chromosomal karyotype (typically associated with males) but, because of a difference in dihydrotestosterone levels, will often be born with an external genital appearance typically associated with females. MedlinePlus, </w:t>
      </w:r>
      <w:r>
        <w:rPr>
          <w:i/>
          <w:iCs/>
          <w:color w:val="000000"/>
          <w:sz w:val="20"/>
          <w:szCs w:val="20"/>
        </w:rPr>
        <w:t>5-alpha reductase deficiency</w:t>
      </w:r>
      <w:r>
        <w:rPr>
          <w:color w:val="000000"/>
          <w:sz w:val="20"/>
          <w:szCs w:val="20"/>
        </w:rPr>
        <w:t xml:space="preserve">, available at: </w:t>
      </w:r>
      <w:hyperlink r:id="rId12">
        <w:r>
          <w:rPr>
            <w:color w:val="467886"/>
            <w:sz w:val="20"/>
            <w:szCs w:val="20"/>
            <w:u w:val="single"/>
          </w:rPr>
          <w:t>https://medlineplus.gov/genetics/condition/5-alpha-reductase-deficiency/</w:t>
        </w:r>
      </w:hyperlink>
      <w:r>
        <w:rPr>
          <w:color w:val="000000"/>
          <w:sz w:val="20"/>
          <w:szCs w:val="20"/>
        </w:rPr>
        <w:t xml:space="preserve"> (last updated: April 1, 2017). They will </w:t>
      </w:r>
      <w:r>
        <w:rPr>
          <w:sz w:val="20"/>
          <w:szCs w:val="20"/>
        </w:rPr>
        <w:t xml:space="preserve">often be assigned female at birth. </w:t>
      </w:r>
      <w:r>
        <w:rPr>
          <w:color w:val="000000"/>
          <w:sz w:val="20"/>
          <w:szCs w:val="20"/>
        </w:rPr>
        <w:t xml:space="preserve">During puberty, the influx in androgenic hormones may result in the individual developing physical characteristics that are typically associated with males, such as facial hair, a deepened voice, and/or a penis and scrotum. </w:t>
      </w:r>
      <w:r>
        <w:rPr>
          <w:i/>
          <w:iCs/>
          <w:color w:val="000000"/>
          <w:sz w:val="20"/>
          <w:szCs w:val="20"/>
        </w:rPr>
        <w:t>Id.</w:t>
      </w:r>
      <w:r>
        <w:rPr>
          <w:color w:val="000000"/>
          <w:sz w:val="20"/>
          <w:szCs w:val="20"/>
        </w:rPr>
        <w:t xml:space="preserve"> Many people with this </w:t>
      </w:r>
      <w:r>
        <w:rPr>
          <w:sz w:val="20"/>
          <w:szCs w:val="20"/>
        </w:rPr>
        <w:t>5α-reductase deficiency</w:t>
      </w:r>
      <w:r>
        <w:rPr>
          <w:color w:val="000000"/>
          <w:sz w:val="20"/>
          <w:szCs w:val="20"/>
        </w:rPr>
        <w:t xml:space="preserve"> identify themselv</w:t>
      </w:r>
      <w:r>
        <w:rPr>
          <w:sz w:val="20"/>
          <w:szCs w:val="20"/>
        </w:rPr>
        <w:t>es as men.</w:t>
      </w:r>
    </w:p>
  </w:footnote>
  <w:footnote w:id="20">
    <w:p w14:paraId="0000005E" w14:textId="77777777" w:rsidR="001A4188" w:rsidRDefault="00000000">
      <w:pPr>
        <w:pBdr>
          <w:top w:val="nil"/>
          <w:left w:val="nil"/>
          <w:bottom w:val="nil"/>
          <w:right w:val="nil"/>
          <w:between w:val="nil"/>
        </w:pBdr>
        <w:spacing w:line="240" w:lineRule="auto"/>
        <w:rPr>
          <w:color w:val="000000"/>
          <w:sz w:val="20"/>
          <w:szCs w:val="20"/>
        </w:rPr>
      </w:pPr>
      <w:r>
        <w:rPr>
          <w:vertAlign w:val="superscript"/>
        </w:rPr>
        <w:footnoteRef/>
      </w:r>
      <w:r>
        <w:rPr>
          <w:color w:val="000000"/>
          <w:sz w:val="20"/>
          <w:szCs w:val="20"/>
        </w:rPr>
        <w:t xml:space="preserve"> Melanie </w:t>
      </w:r>
      <w:proofErr w:type="spellStart"/>
      <w:r>
        <w:rPr>
          <w:color w:val="000000"/>
          <w:sz w:val="20"/>
          <w:szCs w:val="20"/>
        </w:rPr>
        <w:t>Blackless</w:t>
      </w:r>
      <w:proofErr w:type="spellEnd"/>
      <w:r>
        <w:rPr>
          <w:color w:val="000000"/>
          <w:sz w:val="20"/>
          <w:szCs w:val="20"/>
        </w:rPr>
        <w:t xml:space="preserve"> et al., </w:t>
      </w:r>
      <w:r>
        <w:rPr>
          <w:i/>
          <w:iCs/>
          <w:color w:val="000000"/>
          <w:sz w:val="20"/>
          <w:szCs w:val="20"/>
        </w:rPr>
        <w:t>How Sexually Dimorphic Are We? Review and Synthesis</w:t>
      </w:r>
      <w:r>
        <w:rPr>
          <w:color w:val="000000"/>
          <w:sz w:val="20"/>
          <w:szCs w:val="20"/>
        </w:rPr>
        <w:t xml:space="preserve">, 12 </w:t>
      </w:r>
      <w:r>
        <w:rPr>
          <w:smallCaps/>
          <w:color w:val="000000"/>
          <w:sz w:val="20"/>
          <w:szCs w:val="20"/>
        </w:rPr>
        <w:t>Am. J. Hum. Bio.</w:t>
      </w:r>
      <w:r>
        <w:rPr>
          <w:color w:val="000000"/>
          <w:sz w:val="20"/>
          <w:szCs w:val="20"/>
        </w:rPr>
        <w:t xml:space="preserve"> 151, 159 (2000).</w:t>
      </w:r>
    </w:p>
  </w:footnote>
  <w:footnote w:id="21">
    <w:p w14:paraId="0000005F" w14:textId="77777777" w:rsidR="001A4188" w:rsidRDefault="00000000">
      <w:pPr>
        <w:pBdr>
          <w:top w:val="nil"/>
          <w:left w:val="nil"/>
          <w:bottom w:val="nil"/>
          <w:right w:val="nil"/>
          <w:between w:val="nil"/>
        </w:pBdr>
        <w:spacing w:line="240" w:lineRule="auto"/>
        <w:rPr>
          <w:color w:val="000000"/>
          <w:sz w:val="20"/>
          <w:szCs w:val="20"/>
        </w:rPr>
      </w:pPr>
      <w:r>
        <w:rPr>
          <w:vertAlign w:val="superscript"/>
        </w:rPr>
        <w:footnoteRef/>
      </w:r>
      <w:r>
        <w:rPr>
          <w:color w:val="000000"/>
          <w:sz w:val="20"/>
          <w:szCs w:val="20"/>
        </w:rPr>
        <w:t xml:space="preserve"> </w:t>
      </w:r>
      <w:r>
        <w:rPr>
          <w:i/>
          <w:iCs/>
          <w:color w:val="000000"/>
          <w:sz w:val="20"/>
          <w:szCs w:val="20"/>
        </w:rPr>
        <w:t xml:space="preserve">See </w:t>
      </w:r>
      <w:r>
        <w:rPr>
          <w:color w:val="000000"/>
          <w:sz w:val="20"/>
          <w:szCs w:val="20"/>
        </w:rPr>
        <w:t>91 Fed. Reg. 22784.</w:t>
      </w:r>
    </w:p>
  </w:footnote>
  <w:footnote w:id="22">
    <w:p w14:paraId="00000060" w14:textId="68F2AF02" w:rsidR="001A4188" w:rsidRDefault="00000000">
      <w:pPr>
        <w:pBdr>
          <w:top w:val="nil"/>
          <w:left w:val="nil"/>
          <w:bottom w:val="nil"/>
          <w:right w:val="nil"/>
          <w:between w:val="nil"/>
        </w:pBdr>
        <w:spacing w:line="240" w:lineRule="auto"/>
        <w:rPr>
          <w:color w:val="000000"/>
          <w:sz w:val="20"/>
          <w:szCs w:val="20"/>
        </w:rPr>
      </w:pPr>
      <w:r>
        <w:rPr>
          <w:vertAlign w:val="superscript"/>
        </w:rPr>
        <w:footnoteRef/>
      </w:r>
      <w:r>
        <w:rPr>
          <w:color w:val="000000"/>
          <w:sz w:val="20"/>
          <w:szCs w:val="20"/>
        </w:rPr>
        <w:t xml:space="preserve"> Meltem Özdemir et al., </w:t>
      </w:r>
      <w:proofErr w:type="spellStart"/>
      <w:r>
        <w:rPr>
          <w:i/>
          <w:iCs/>
          <w:color w:val="000000"/>
          <w:sz w:val="20"/>
          <w:szCs w:val="20"/>
        </w:rPr>
        <w:t>Ovotesticular</w:t>
      </w:r>
      <w:proofErr w:type="spellEnd"/>
      <w:r>
        <w:rPr>
          <w:i/>
          <w:iCs/>
          <w:color w:val="000000"/>
          <w:sz w:val="20"/>
          <w:szCs w:val="20"/>
        </w:rPr>
        <w:t xml:space="preserve"> Disorder of Sex Development: An Unusual Presentation</w:t>
      </w:r>
      <w:r>
        <w:rPr>
          <w:color w:val="000000"/>
          <w:sz w:val="20"/>
          <w:szCs w:val="20"/>
        </w:rPr>
        <w:t xml:space="preserve">, 9 </w:t>
      </w:r>
      <w:r>
        <w:rPr>
          <w:smallCaps/>
          <w:color w:val="000000"/>
          <w:sz w:val="20"/>
          <w:szCs w:val="20"/>
        </w:rPr>
        <w:t>J. Clin. Imaging Sci.</w:t>
      </w:r>
      <w:r>
        <w:rPr>
          <w:color w:val="000000"/>
          <w:sz w:val="20"/>
          <w:szCs w:val="20"/>
        </w:rPr>
        <w:t xml:space="preserve"> 34, 3 (Jul. 2019) (demonstrating, upon histological evaluation of a biopsy, that the ovotestis of someone with</w:t>
      </w:r>
      <w:r w:rsidR="00D309C8">
        <w:rPr>
          <w:color w:val="000000"/>
          <w:sz w:val="20"/>
          <w:szCs w:val="20"/>
        </w:rPr>
        <w:t xml:space="preserve"> an</w:t>
      </w:r>
      <w:r>
        <w:rPr>
          <w:color w:val="000000"/>
          <w:sz w:val="20"/>
          <w:szCs w:val="20"/>
        </w:rPr>
        <w:t xml:space="preserve"> </w:t>
      </w:r>
      <w:proofErr w:type="spellStart"/>
      <w:r>
        <w:rPr>
          <w:color w:val="000000"/>
          <w:sz w:val="20"/>
          <w:szCs w:val="20"/>
        </w:rPr>
        <w:t>ovotesticular</w:t>
      </w:r>
      <w:proofErr w:type="spellEnd"/>
      <w:r>
        <w:rPr>
          <w:color w:val="000000"/>
          <w:sz w:val="20"/>
          <w:szCs w:val="20"/>
        </w:rPr>
        <w:t xml:space="preserve"> </w:t>
      </w:r>
      <w:r w:rsidR="00D309C8">
        <w:rPr>
          <w:color w:val="000000"/>
          <w:sz w:val="20"/>
          <w:szCs w:val="20"/>
        </w:rPr>
        <w:t>variation</w:t>
      </w:r>
      <w:r>
        <w:rPr>
          <w:color w:val="000000"/>
          <w:sz w:val="20"/>
          <w:szCs w:val="20"/>
        </w:rPr>
        <w:t xml:space="preserve"> “showed normal ovarian tissue with primordial follicles and ovarian stroma and “[s]</w:t>
      </w:r>
      <w:proofErr w:type="spellStart"/>
      <w:r>
        <w:rPr>
          <w:color w:val="000000"/>
          <w:sz w:val="20"/>
          <w:szCs w:val="20"/>
        </w:rPr>
        <w:t>eminiferous</w:t>
      </w:r>
      <w:proofErr w:type="spellEnd"/>
      <w:r>
        <w:rPr>
          <w:color w:val="000000"/>
          <w:sz w:val="20"/>
          <w:szCs w:val="20"/>
        </w:rPr>
        <w:t xml:space="preserve"> tubules and spermatogonia were found in the testicular portion.”); Anu </w:t>
      </w:r>
      <w:proofErr w:type="spellStart"/>
      <w:r>
        <w:rPr>
          <w:color w:val="000000"/>
          <w:sz w:val="20"/>
          <w:szCs w:val="20"/>
        </w:rPr>
        <w:t>Bashamboo</w:t>
      </w:r>
      <w:proofErr w:type="spellEnd"/>
      <w:r>
        <w:rPr>
          <w:color w:val="000000"/>
          <w:sz w:val="20"/>
          <w:szCs w:val="20"/>
        </w:rPr>
        <w:t xml:space="preserve"> &amp; Ken McElreavey, </w:t>
      </w:r>
      <w:r>
        <w:rPr>
          <w:i/>
          <w:iCs/>
          <w:color w:val="000000"/>
          <w:sz w:val="20"/>
          <w:szCs w:val="20"/>
        </w:rPr>
        <w:t>Consanguinity and Disorders of Sex Development</w:t>
      </w:r>
      <w:r>
        <w:rPr>
          <w:color w:val="000000"/>
          <w:sz w:val="20"/>
          <w:szCs w:val="20"/>
        </w:rPr>
        <w:t xml:space="preserve">, 77 </w:t>
      </w:r>
      <w:r>
        <w:rPr>
          <w:smallCaps/>
          <w:color w:val="000000"/>
          <w:sz w:val="20"/>
          <w:szCs w:val="20"/>
        </w:rPr>
        <w:t>Hum. Heredity</w:t>
      </w:r>
      <w:r>
        <w:rPr>
          <w:color w:val="000000"/>
          <w:sz w:val="20"/>
          <w:szCs w:val="20"/>
        </w:rPr>
        <w:t xml:space="preserve"> 108, 108–9 (2014) (“</w:t>
      </w:r>
      <w:proofErr w:type="gramStart"/>
      <w:r>
        <w:rPr>
          <w:color w:val="000000"/>
          <w:sz w:val="20"/>
          <w:szCs w:val="20"/>
        </w:rPr>
        <w:t>46,XX</w:t>
      </w:r>
      <w:proofErr w:type="gramEnd"/>
      <w:r>
        <w:rPr>
          <w:color w:val="000000"/>
          <w:sz w:val="20"/>
          <w:szCs w:val="20"/>
        </w:rPr>
        <w:t xml:space="preserve"> </w:t>
      </w:r>
      <w:proofErr w:type="spellStart"/>
      <w:r>
        <w:rPr>
          <w:color w:val="000000"/>
          <w:sz w:val="20"/>
          <w:szCs w:val="20"/>
        </w:rPr>
        <w:t>ovotesticular</w:t>
      </w:r>
      <w:proofErr w:type="spellEnd"/>
      <w:r>
        <w:rPr>
          <w:color w:val="000000"/>
          <w:sz w:val="20"/>
          <w:szCs w:val="20"/>
        </w:rPr>
        <w:t xml:space="preserve"> DSD refers to individuals that have both ovarian and testicular tissue in the gonads, usually as ovotestes but also less commonly as separate gonads.”).</w:t>
      </w:r>
    </w:p>
  </w:footnote>
  <w:footnote w:id="23">
    <w:p w14:paraId="00000061" w14:textId="77777777" w:rsidR="001A4188" w:rsidRDefault="00000000">
      <w:pPr>
        <w:pBdr>
          <w:top w:val="nil"/>
          <w:left w:val="nil"/>
          <w:bottom w:val="nil"/>
          <w:right w:val="nil"/>
          <w:between w:val="nil"/>
        </w:pBdr>
        <w:spacing w:line="240" w:lineRule="auto"/>
        <w:rPr>
          <w:color w:val="000000"/>
          <w:sz w:val="20"/>
          <w:szCs w:val="20"/>
        </w:rPr>
      </w:pPr>
      <w:r>
        <w:rPr>
          <w:vertAlign w:val="superscript"/>
        </w:rPr>
        <w:footnoteRef/>
      </w:r>
      <w:r>
        <w:rPr>
          <w:color w:val="000000"/>
          <w:sz w:val="20"/>
          <w:szCs w:val="20"/>
        </w:rPr>
        <w:t xml:space="preserve"> 91 Fed. Reg. 22784.</w:t>
      </w:r>
    </w:p>
  </w:footnote>
  <w:footnote w:id="24">
    <w:p w14:paraId="00000062" w14:textId="77777777" w:rsidR="001A4188" w:rsidRDefault="00000000">
      <w:pPr>
        <w:pBdr>
          <w:top w:val="nil"/>
          <w:left w:val="nil"/>
          <w:bottom w:val="nil"/>
          <w:right w:val="nil"/>
          <w:between w:val="nil"/>
        </w:pBdr>
        <w:spacing w:line="240" w:lineRule="auto"/>
        <w:rPr>
          <w:color w:val="000000"/>
          <w:sz w:val="20"/>
          <w:szCs w:val="20"/>
        </w:rPr>
      </w:pPr>
      <w:r>
        <w:rPr>
          <w:vertAlign w:val="superscript"/>
        </w:rPr>
        <w:footnoteRef/>
      </w:r>
      <w:r>
        <w:rPr>
          <w:color w:val="000000"/>
          <w:sz w:val="20"/>
          <w:szCs w:val="20"/>
        </w:rPr>
        <w:t xml:space="preserve"> </w:t>
      </w:r>
      <w:r>
        <w:rPr>
          <w:i/>
          <w:iCs/>
          <w:color w:val="000000"/>
          <w:sz w:val="20"/>
          <w:szCs w:val="20"/>
        </w:rPr>
        <w:t>Id.</w:t>
      </w:r>
    </w:p>
  </w:footnote>
  <w:footnote w:id="25">
    <w:p w14:paraId="00000063" w14:textId="6B23B7FC" w:rsidR="001A4188" w:rsidRDefault="00000000">
      <w:pPr>
        <w:pBdr>
          <w:top w:val="nil"/>
          <w:left w:val="nil"/>
          <w:bottom w:val="nil"/>
          <w:right w:val="nil"/>
          <w:between w:val="nil"/>
        </w:pBdr>
        <w:spacing w:line="240" w:lineRule="auto"/>
        <w:rPr>
          <w:color w:val="000000"/>
          <w:sz w:val="20"/>
          <w:szCs w:val="20"/>
        </w:rPr>
      </w:pPr>
      <w:r>
        <w:rPr>
          <w:vertAlign w:val="superscript"/>
        </w:rPr>
        <w:footnoteRef/>
      </w:r>
      <w:r>
        <w:rPr>
          <w:color w:val="000000"/>
          <w:sz w:val="20"/>
          <w:szCs w:val="20"/>
        </w:rPr>
        <w:t xml:space="preserve"> The gonad is </w:t>
      </w:r>
      <w:r>
        <w:rPr>
          <w:sz w:val="20"/>
          <w:szCs w:val="20"/>
        </w:rPr>
        <w:t>bipotential, meaning</w:t>
      </w:r>
      <w:r>
        <w:rPr>
          <w:color w:val="000000"/>
          <w:sz w:val="20"/>
          <w:szCs w:val="20"/>
        </w:rPr>
        <w:t xml:space="preserve"> it is an instance of a single primordium that can become two different organs (i.e., ovary or testis). Jennifer Brennan &amp; Blanche Capel, </w:t>
      </w:r>
      <w:r>
        <w:rPr>
          <w:i/>
          <w:iCs/>
          <w:color w:val="000000"/>
          <w:sz w:val="20"/>
          <w:szCs w:val="20"/>
        </w:rPr>
        <w:t>One Tissue, Two Fates: Molecular Genetic Events that Underlie Testis versus Ovary Development</w:t>
      </w:r>
      <w:r>
        <w:rPr>
          <w:color w:val="000000"/>
          <w:sz w:val="20"/>
          <w:szCs w:val="20"/>
        </w:rPr>
        <w:t xml:space="preserve">, 5 </w:t>
      </w:r>
      <w:r>
        <w:rPr>
          <w:smallCaps/>
          <w:color w:val="000000"/>
          <w:sz w:val="20"/>
          <w:szCs w:val="20"/>
        </w:rPr>
        <w:t>Nature Rev. Genetics</w:t>
      </w:r>
      <w:r>
        <w:rPr>
          <w:color w:val="000000"/>
          <w:sz w:val="20"/>
          <w:szCs w:val="20"/>
        </w:rPr>
        <w:t xml:space="preserve"> 509, 509 (2004). Rather than having one pre-programmed destination that only changes if interrupted, the development of a testis or an ovary from this primordium is a competitive, active process involving balanced antagonistic signaling. </w:t>
      </w:r>
      <w:r>
        <w:rPr>
          <w:i/>
          <w:iCs/>
          <w:color w:val="000000"/>
          <w:sz w:val="20"/>
          <w:szCs w:val="20"/>
        </w:rPr>
        <w:t>Id.</w:t>
      </w:r>
      <w:r>
        <w:rPr>
          <w:color w:val="000000"/>
          <w:sz w:val="20"/>
          <w:szCs w:val="20"/>
        </w:rPr>
        <w:t xml:space="preserve"> at 518. Absent sufficient signaling in either direction (i.e., to form a testis or ovary), the primordium would not develop into viable reproductive tissue (i.e., it becomes a streak gonad). </w:t>
      </w:r>
      <w:r>
        <w:rPr>
          <w:i/>
          <w:iCs/>
          <w:color w:val="000000"/>
          <w:sz w:val="20"/>
          <w:szCs w:val="20"/>
        </w:rPr>
        <w:t>See id</w:t>
      </w:r>
      <w:r>
        <w:rPr>
          <w:color w:val="000000"/>
          <w:sz w:val="20"/>
          <w:szCs w:val="20"/>
        </w:rPr>
        <w:t xml:space="preserve">. Moreover, as evidenced by the fact that ovarian somatic cells may begin to express male-typical genes in the absence of germ cells (i.e., the precursors to ova), </w:t>
      </w:r>
      <w:r>
        <w:rPr>
          <w:i/>
          <w:iCs/>
          <w:color w:val="000000"/>
          <w:sz w:val="20"/>
          <w:szCs w:val="20"/>
        </w:rPr>
        <w:t>id.</w:t>
      </w:r>
      <w:r>
        <w:rPr>
          <w:color w:val="000000"/>
          <w:sz w:val="20"/>
          <w:szCs w:val="20"/>
        </w:rPr>
        <w:t xml:space="preserve">, the identity of the tissue (i.e., testis or ovary) is constantly being maintained by physiological interactions and is therefore not a fixed, latent truth established at the moment of conception. For example, a fetus with XY chromosomes could, after conception, have its </w:t>
      </w:r>
      <w:proofErr w:type="spellStart"/>
      <w:r>
        <w:rPr>
          <w:i/>
          <w:iCs/>
          <w:color w:val="000000"/>
          <w:sz w:val="20"/>
          <w:szCs w:val="20"/>
        </w:rPr>
        <w:t>Sry</w:t>
      </w:r>
      <w:proofErr w:type="spellEnd"/>
      <w:r>
        <w:rPr>
          <w:i/>
          <w:iCs/>
          <w:color w:val="000000"/>
          <w:sz w:val="20"/>
          <w:szCs w:val="20"/>
        </w:rPr>
        <w:t xml:space="preserve"> </w:t>
      </w:r>
      <w:r>
        <w:rPr>
          <w:color w:val="000000"/>
          <w:sz w:val="20"/>
          <w:szCs w:val="20"/>
        </w:rPr>
        <w:t xml:space="preserve">gene turned off somehow and its developing gonad tissue could change course and become ovaries as a result if sufficient feminizing signaling is present. </w:t>
      </w:r>
      <w:r>
        <w:rPr>
          <w:i/>
          <w:iCs/>
          <w:color w:val="000000"/>
          <w:sz w:val="20"/>
          <w:szCs w:val="20"/>
        </w:rPr>
        <w:t>See id</w:t>
      </w:r>
      <w:r>
        <w:rPr>
          <w:color w:val="000000"/>
          <w:sz w:val="20"/>
          <w:szCs w:val="20"/>
        </w:rPr>
        <w:t>.</w:t>
      </w:r>
      <w:r w:rsidR="000678E8">
        <w:rPr>
          <w:color w:val="000000"/>
          <w:sz w:val="20"/>
          <w:szCs w:val="20"/>
        </w:rPr>
        <w:t xml:space="preserve"> </w:t>
      </w:r>
    </w:p>
  </w:footnote>
  <w:footnote w:id="26">
    <w:p w14:paraId="00000064" w14:textId="77777777" w:rsidR="001A4188" w:rsidRDefault="00000000">
      <w:pPr>
        <w:pBdr>
          <w:top w:val="nil"/>
          <w:left w:val="nil"/>
          <w:bottom w:val="nil"/>
          <w:right w:val="nil"/>
          <w:between w:val="nil"/>
        </w:pBdr>
        <w:spacing w:line="240" w:lineRule="auto"/>
        <w:rPr>
          <w:color w:val="000000"/>
          <w:sz w:val="20"/>
          <w:szCs w:val="20"/>
        </w:rPr>
      </w:pPr>
      <w:r>
        <w:rPr>
          <w:vertAlign w:val="superscript"/>
        </w:rPr>
        <w:footnoteRef/>
      </w:r>
      <w:r>
        <w:rPr>
          <w:color w:val="000000"/>
          <w:sz w:val="20"/>
          <w:szCs w:val="20"/>
        </w:rPr>
        <w:t xml:space="preserve"> </w:t>
      </w:r>
      <w:r>
        <w:rPr>
          <w:i/>
          <w:iCs/>
          <w:color w:val="000000"/>
          <w:sz w:val="20"/>
          <w:szCs w:val="20"/>
        </w:rPr>
        <w:t xml:space="preserve">See </w:t>
      </w:r>
      <w:r>
        <w:rPr>
          <w:color w:val="000000"/>
          <w:sz w:val="20"/>
          <w:szCs w:val="20"/>
        </w:rPr>
        <w:t>91 Fed. Reg. 22780, 22784.</w:t>
      </w:r>
    </w:p>
  </w:footnote>
  <w:footnote w:id="27">
    <w:p w14:paraId="00000065" w14:textId="77777777" w:rsidR="001A4188" w:rsidRDefault="00000000">
      <w:pPr>
        <w:pBdr>
          <w:top w:val="nil"/>
          <w:left w:val="nil"/>
          <w:bottom w:val="nil"/>
          <w:right w:val="nil"/>
          <w:between w:val="nil"/>
        </w:pBdr>
        <w:spacing w:line="240" w:lineRule="auto"/>
        <w:rPr>
          <w:color w:val="000000"/>
          <w:sz w:val="20"/>
          <w:szCs w:val="20"/>
        </w:rPr>
      </w:pPr>
      <w:r>
        <w:rPr>
          <w:vertAlign w:val="superscript"/>
        </w:rPr>
        <w:footnoteRef/>
      </w:r>
      <w:r>
        <w:rPr>
          <w:color w:val="000000"/>
          <w:sz w:val="20"/>
          <w:szCs w:val="20"/>
        </w:rPr>
        <w:t xml:space="preserve"> 91 Fed. Reg. 22780.</w:t>
      </w:r>
    </w:p>
  </w:footnote>
  <w:footnote w:id="28">
    <w:p w14:paraId="00000066" w14:textId="011576E1" w:rsidR="001A4188" w:rsidRDefault="00000000">
      <w:pPr>
        <w:pBdr>
          <w:top w:val="nil"/>
          <w:left w:val="nil"/>
          <w:bottom w:val="nil"/>
          <w:right w:val="nil"/>
          <w:between w:val="nil"/>
        </w:pBdr>
        <w:spacing w:line="240" w:lineRule="auto"/>
        <w:rPr>
          <w:color w:val="000000"/>
          <w:sz w:val="20"/>
          <w:szCs w:val="20"/>
        </w:rPr>
      </w:pPr>
      <w:r>
        <w:rPr>
          <w:vertAlign w:val="superscript"/>
        </w:rPr>
        <w:footnoteRef/>
      </w:r>
      <w:r>
        <w:rPr>
          <w:color w:val="000000"/>
          <w:sz w:val="20"/>
          <w:szCs w:val="20"/>
        </w:rPr>
        <w:t xml:space="preserve"> </w:t>
      </w:r>
      <w:r>
        <w:rPr>
          <w:i/>
          <w:iCs/>
          <w:color w:val="000000"/>
          <w:sz w:val="20"/>
          <w:szCs w:val="20"/>
        </w:rPr>
        <w:t>See, e.g.</w:t>
      </w:r>
      <w:r>
        <w:rPr>
          <w:color w:val="000000"/>
          <w:sz w:val="20"/>
          <w:szCs w:val="20"/>
        </w:rPr>
        <w:t xml:space="preserve">, </w:t>
      </w:r>
      <w:r w:rsidR="002055F9">
        <w:rPr>
          <w:color w:val="000000"/>
          <w:sz w:val="20"/>
          <w:szCs w:val="20"/>
        </w:rPr>
        <w:t>2</w:t>
      </w:r>
      <w:r>
        <w:rPr>
          <w:color w:val="000000"/>
          <w:sz w:val="20"/>
          <w:szCs w:val="20"/>
        </w:rPr>
        <w:t>4 CFR 92.508, 202.12, 221.795, 236.1001, 291.440, 570.490, 570.506, 570.904, 582.300, 583.300, 700.175, 880.603, 882.514, 882.810, 884.214, 886.138, 886.321, 886.338, 891.410, 891.510, 891.610, 891.750, 982.158.</w:t>
      </w:r>
    </w:p>
  </w:footnote>
  <w:footnote w:id="29">
    <w:p w14:paraId="00000067" w14:textId="77777777" w:rsidR="001A4188" w:rsidRDefault="00000000">
      <w:pPr>
        <w:pBdr>
          <w:top w:val="nil"/>
          <w:left w:val="nil"/>
          <w:bottom w:val="nil"/>
          <w:right w:val="nil"/>
          <w:between w:val="nil"/>
        </w:pBdr>
        <w:spacing w:line="240" w:lineRule="auto"/>
        <w:rPr>
          <w:color w:val="000000"/>
          <w:sz w:val="20"/>
          <w:szCs w:val="20"/>
        </w:rPr>
      </w:pPr>
      <w:r>
        <w:rPr>
          <w:vertAlign w:val="superscript"/>
        </w:rPr>
        <w:footnoteRef/>
      </w:r>
      <w:r>
        <w:rPr>
          <w:color w:val="000000"/>
          <w:sz w:val="20"/>
          <w:szCs w:val="20"/>
        </w:rPr>
        <w:t xml:space="preserve"> </w:t>
      </w:r>
      <w:r>
        <w:rPr>
          <w:i/>
          <w:iCs/>
          <w:color w:val="000000"/>
          <w:sz w:val="20"/>
          <w:szCs w:val="20"/>
        </w:rPr>
        <w:t>See</w:t>
      </w:r>
      <w:r>
        <w:rPr>
          <w:color w:val="000000"/>
          <w:sz w:val="20"/>
          <w:szCs w:val="20"/>
        </w:rPr>
        <w:t xml:space="preserve"> 91 Fed. Reg. 22780.</w:t>
      </w:r>
    </w:p>
  </w:footnote>
  <w:footnote w:id="30">
    <w:p w14:paraId="00000068" w14:textId="77777777" w:rsidR="001A4188" w:rsidRDefault="00000000">
      <w:pPr>
        <w:pBdr>
          <w:top w:val="nil"/>
          <w:left w:val="nil"/>
          <w:bottom w:val="nil"/>
          <w:right w:val="nil"/>
          <w:between w:val="nil"/>
        </w:pBdr>
        <w:spacing w:line="240" w:lineRule="auto"/>
        <w:rPr>
          <w:color w:val="000000"/>
          <w:sz w:val="20"/>
          <w:szCs w:val="20"/>
        </w:rPr>
      </w:pPr>
      <w:r>
        <w:rPr>
          <w:vertAlign w:val="superscript"/>
        </w:rPr>
        <w:footnoteRef/>
      </w:r>
      <w:r>
        <w:rPr>
          <w:color w:val="000000"/>
          <w:sz w:val="20"/>
          <w:szCs w:val="20"/>
        </w:rPr>
        <w:t xml:space="preserve"> Pamela H. Bowers et al., </w:t>
      </w:r>
      <w:r>
        <w:rPr>
          <w:i/>
          <w:iCs/>
          <w:color w:val="000000"/>
          <w:sz w:val="20"/>
          <w:szCs w:val="20"/>
        </w:rPr>
        <w:t>Homeless Youth Shelters and Services for Transgender and Gender Non-Conforming (TGNC) Clients: Results from a Nationwide Survey</w:t>
      </w:r>
      <w:r>
        <w:rPr>
          <w:color w:val="000000"/>
          <w:sz w:val="20"/>
          <w:szCs w:val="20"/>
        </w:rPr>
        <w:t xml:space="preserve">, 35 </w:t>
      </w:r>
      <w:r>
        <w:rPr>
          <w:smallCaps/>
          <w:color w:val="000000"/>
          <w:sz w:val="20"/>
          <w:szCs w:val="20"/>
        </w:rPr>
        <w:t>J. Gay &amp; Lesbian Soc. Servs.</w:t>
      </w:r>
      <w:r>
        <w:rPr>
          <w:color w:val="000000"/>
          <w:sz w:val="20"/>
          <w:szCs w:val="20"/>
        </w:rPr>
        <w:t xml:space="preserve"> 298, 298, 303 (2023).</w:t>
      </w:r>
    </w:p>
  </w:footnote>
  <w:footnote w:id="31">
    <w:p w14:paraId="00000069" w14:textId="77777777" w:rsidR="001A4188" w:rsidRDefault="00000000">
      <w:pPr>
        <w:pBdr>
          <w:top w:val="nil"/>
          <w:left w:val="nil"/>
          <w:bottom w:val="nil"/>
          <w:right w:val="nil"/>
          <w:between w:val="nil"/>
        </w:pBdr>
        <w:spacing w:line="240" w:lineRule="auto"/>
        <w:rPr>
          <w:color w:val="000000"/>
          <w:sz w:val="20"/>
          <w:szCs w:val="20"/>
        </w:rPr>
      </w:pPr>
      <w:r>
        <w:rPr>
          <w:vertAlign w:val="superscript"/>
        </w:rPr>
        <w:footnoteRef/>
      </w:r>
      <w:r>
        <w:rPr>
          <w:color w:val="000000"/>
          <w:sz w:val="20"/>
          <w:szCs w:val="20"/>
        </w:rPr>
        <w:t xml:space="preserve"> </w:t>
      </w:r>
      <w:r>
        <w:rPr>
          <w:i/>
          <w:iCs/>
          <w:color w:val="000000"/>
          <w:sz w:val="20"/>
          <w:szCs w:val="20"/>
        </w:rPr>
        <w:t>Id.</w:t>
      </w:r>
      <w:r>
        <w:rPr>
          <w:color w:val="000000"/>
          <w:sz w:val="20"/>
          <w:szCs w:val="20"/>
        </w:rPr>
        <w:t xml:space="preserve"> at 309–10.</w:t>
      </w:r>
    </w:p>
  </w:footnote>
  <w:footnote w:id="32">
    <w:p w14:paraId="0000006A" w14:textId="77777777" w:rsidR="001A4188" w:rsidRDefault="00000000">
      <w:pPr>
        <w:pBdr>
          <w:top w:val="nil"/>
          <w:left w:val="nil"/>
          <w:bottom w:val="nil"/>
          <w:right w:val="nil"/>
          <w:between w:val="nil"/>
        </w:pBdr>
        <w:spacing w:line="240" w:lineRule="auto"/>
        <w:rPr>
          <w:color w:val="000000"/>
          <w:sz w:val="20"/>
          <w:szCs w:val="20"/>
        </w:rPr>
      </w:pPr>
      <w:r>
        <w:rPr>
          <w:vertAlign w:val="superscript"/>
        </w:rPr>
        <w:footnoteRef/>
      </w:r>
      <w:r>
        <w:rPr>
          <w:color w:val="000000"/>
          <w:sz w:val="20"/>
          <w:szCs w:val="20"/>
        </w:rPr>
        <w:t xml:space="preserve"> </w:t>
      </w:r>
      <w:r>
        <w:rPr>
          <w:i/>
          <w:iCs/>
          <w:color w:val="000000"/>
          <w:sz w:val="20"/>
          <w:szCs w:val="20"/>
        </w:rPr>
        <w:t>Id.</w:t>
      </w:r>
      <w:r>
        <w:rPr>
          <w:color w:val="000000"/>
          <w:sz w:val="20"/>
          <w:szCs w:val="20"/>
        </w:rPr>
        <w:t xml:space="preserve"> at 309.</w:t>
      </w:r>
    </w:p>
  </w:footnote>
  <w:footnote w:id="33">
    <w:p w14:paraId="0000006B" w14:textId="77777777" w:rsidR="001A4188" w:rsidRDefault="00000000">
      <w:pPr>
        <w:pBdr>
          <w:top w:val="nil"/>
          <w:left w:val="nil"/>
          <w:bottom w:val="nil"/>
          <w:right w:val="nil"/>
          <w:between w:val="nil"/>
        </w:pBdr>
        <w:spacing w:line="240" w:lineRule="auto"/>
        <w:rPr>
          <w:color w:val="000000"/>
          <w:sz w:val="20"/>
          <w:szCs w:val="20"/>
        </w:rPr>
      </w:pPr>
      <w:r>
        <w:rPr>
          <w:vertAlign w:val="superscript"/>
        </w:rPr>
        <w:footnoteRef/>
      </w:r>
      <w:r>
        <w:rPr>
          <w:color w:val="000000"/>
          <w:sz w:val="20"/>
          <w:szCs w:val="20"/>
        </w:rPr>
        <w:t xml:space="preserve"> </w:t>
      </w:r>
      <w:r>
        <w:rPr>
          <w:i/>
          <w:iCs/>
          <w:color w:val="000000"/>
          <w:sz w:val="20"/>
          <w:szCs w:val="20"/>
        </w:rPr>
        <w:t>See e.g</w:t>
      </w:r>
      <w:r>
        <w:rPr>
          <w:color w:val="000000"/>
          <w:sz w:val="20"/>
          <w:szCs w:val="20"/>
        </w:rPr>
        <w:t xml:space="preserve">., </w:t>
      </w:r>
      <w:r>
        <w:rPr>
          <w:i/>
          <w:iCs/>
          <w:color w:val="000000"/>
          <w:sz w:val="20"/>
          <w:szCs w:val="20"/>
        </w:rPr>
        <w:t>When Shelter Becomes a Struggle: The Human Cost of Equal Access Rule Rollback</w:t>
      </w:r>
      <w:r>
        <w:rPr>
          <w:color w:val="000000"/>
          <w:sz w:val="20"/>
          <w:szCs w:val="20"/>
        </w:rPr>
        <w:t xml:space="preserve"> (SAGE USA March 31, 2025) </w:t>
      </w:r>
      <w:hyperlink r:id="rId13">
        <w:r>
          <w:rPr>
            <w:color w:val="467886"/>
            <w:sz w:val="20"/>
            <w:szCs w:val="20"/>
            <w:u w:val="single"/>
          </w:rPr>
          <w:t>https://www.sageusa.org/when-shelter-becomes-a-struggle-the-human-cost-of-equal-access-rule-rollback/</w:t>
        </w:r>
      </w:hyperlink>
      <w:r>
        <w:rPr>
          <w:color w:val="000000"/>
          <w:sz w:val="20"/>
          <w:szCs w:val="20"/>
        </w:rPr>
        <w:t>.</w:t>
      </w:r>
    </w:p>
  </w:footnote>
  <w:footnote w:id="34">
    <w:p w14:paraId="0000006C" w14:textId="77777777" w:rsidR="001A4188" w:rsidRDefault="00000000">
      <w:pPr>
        <w:pBdr>
          <w:top w:val="nil"/>
          <w:left w:val="nil"/>
          <w:bottom w:val="nil"/>
          <w:right w:val="nil"/>
          <w:between w:val="nil"/>
        </w:pBdr>
        <w:spacing w:line="240" w:lineRule="auto"/>
        <w:rPr>
          <w:color w:val="000000"/>
          <w:sz w:val="20"/>
          <w:szCs w:val="20"/>
        </w:rPr>
      </w:pPr>
      <w:r>
        <w:rPr>
          <w:vertAlign w:val="superscript"/>
        </w:rPr>
        <w:footnoteRef/>
      </w:r>
      <w:r>
        <w:rPr>
          <w:color w:val="000000"/>
          <w:sz w:val="20"/>
          <w:szCs w:val="20"/>
        </w:rPr>
        <w:t xml:space="preserve"> </w:t>
      </w:r>
      <w:r>
        <w:rPr>
          <w:i/>
          <w:iCs/>
          <w:color w:val="000000"/>
          <w:sz w:val="20"/>
          <w:szCs w:val="20"/>
        </w:rPr>
        <w:t>Id.</w:t>
      </w:r>
      <w:r>
        <w:rPr>
          <w:color w:val="000000"/>
          <w:sz w:val="20"/>
          <w:szCs w:val="20"/>
        </w:rPr>
        <w:t xml:space="preserve"> </w:t>
      </w:r>
    </w:p>
  </w:footnote>
  <w:footnote w:id="35">
    <w:p w14:paraId="0000006D" w14:textId="77777777" w:rsidR="001A4188" w:rsidRDefault="00000000">
      <w:pPr>
        <w:pBdr>
          <w:top w:val="nil"/>
          <w:left w:val="nil"/>
          <w:bottom w:val="nil"/>
          <w:right w:val="nil"/>
          <w:between w:val="nil"/>
        </w:pBdr>
        <w:spacing w:line="240" w:lineRule="auto"/>
        <w:rPr>
          <w:color w:val="000000"/>
          <w:sz w:val="20"/>
          <w:szCs w:val="20"/>
        </w:rPr>
      </w:pPr>
      <w:r>
        <w:rPr>
          <w:vertAlign w:val="superscript"/>
        </w:rPr>
        <w:footnoteRef/>
      </w:r>
      <w:r>
        <w:rPr>
          <w:color w:val="000000"/>
          <w:sz w:val="20"/>
          <w:szCs w:val="20"/>
        </w:rPr>
        <w:t xml:space="preserve"> How the Equal Access Rule Can Protect Trans People and Sex Workers (National Alliance to End Homelessness April 22, 2025) </w:t>
      </w:r>
      <w:hyperlink r:id="rId14">
        <w:r>
          <w:rPr>
            <w:color w:val="467886"/>
            <w:sz w:val="20"/>
            <w:szCs w:val="20"/>
            <w:u w:val="single"/>
          </w:rPr>
          <w:t>https://endhomelessness.org/blog/how-the-equal-access-rule-can-protect-trans-people-and-sex-workers/</w:t>
        </w:r>
      </w:hyperlink>
      <w:r>
        <w:rPr>
          <w:color w:val="000000"/>
          <w:sz w:val="20"/>
          <w:szCs w:val="20"/>
        </w:rPr>
        <w:t xml:space="preserve">. </w:t>
      </w:r>
    </w:p>
  </w:footnote>
  <w:footnote w:id="36">
    <w:p w14:paraId="0000006E" w14:textId="77777777" w:rsidR="001A4188" w:rsidRDefault="00000000">
      <w:pPr>
        <w:pBdr>
          <w:top w:val="nil"/>
          <w:left w:val="nil"/>
          <w:bottom w:val="nil"/>
          <w:right w:val="nil"/>
          <w:between w:val="nil"/>
        </w:pBdr>
        <w:spacing w:line="240" w:lineRule="auto"/>
        <w:rPr>
          <w:color w:val="000000"/>
          <w:sz w:val="20"/>
          <w:szCs w:val="20"/>
        </w:rPr>
      </w:pPr>
      <w:r>
        <w:rPr>
          <w:vertAlign w:val="superscript"/>
        </w:rPr>
        <w:footnoteRef/>
      </w:r>
      <w:r>
        <w:rPr>
          <w:color w:val="000000"/>
          <w:sz w:val="20"/>
          <w:szCs w:val="20"/>
        </w:rPr>
        <w:t xml:space="preserve"> 91 Fed. Reg. 22784 (“Equal access to CPD programs, shelters, other buildings and facilities,</w:t>
      </w:r>
    </w:p>
    <w:p w14:paraId="0000006F" w14:textId="77777777" w:rsidR="001A4188" w:rsidRDefault="00000000">
      <w:pPr>
        <w:pBdr>
          <w:top w:val="nil"/>
          <w:left w:val="nil"/>
          <w:bottom w:val="nil"/>
          <w:right w:val="nil"/>
          <w:between w:val="nil"/>
        </w:pBdr>
        <w:spacing w:line="240" w:lineRule="auto"/>
        <w:rPr>
          <w:color w:val="000000"/>
          <w:sz w:val="20"/>
          <w:szCs w:val="20"/>
        </w:rPr>
      </w:pPr>
      <w:r>
        <w:rPr>
          <w:color w:val="000000"/>
          <w:sz w:val="20"/>
          <w:szCs w:val="20"/>
        </w:rPr>
        <w:t xml:space="preserve">benefits, services, and accommodations </w:t>
      </w:r>
      <w:proofErr w:type="gramStart"/>
      <w:r>
        <w:rPr>
          <w:color w:val="000000"/>
          <w:sz w:val="20"/>
          <w:szCs w:val="20"/>
        </w:rPr>
        <w:t>is</w:t>
      </w:r>
      <w:proofErr w:type="gramEnd"/>
      <w:r>
        <w:rPr>
          <w:color w:val="000000"/>
          <w:sz w:val="20"/>
          <w:szCs w:val="20"/>
        </w:rPr>
        <w:t xml:space="preserve"> provided to an individual in accordance with the individual’s sex </w:t>
      </w:r>
      <w:proofErr w:type="gramStart"/>
      <w:r>
        <w:rPr>
          <w:color w:val="000000"/>
          <w:sz w:val="20"/>
          <w:szCs w:val="20"/>
        </w:rPr>
        <w:t>. . . .</w:t>
      </w:r>
      <w:proofErr w:type="gramEnd"/>
      <w:r>
        <w:rPr>
          <w:color w:val="000000"/>
          <w:sz w:val="20"/>
          <w:szCs w:val="20"/>
        </w:rPr>
        <w:t xml:space="preserve"> An individual is placed, served, and accommodated in accordance with the sex of the individual”).</w:t>
      </w:r>
    </w:p>
  </w:footnote>
  <w:footnote w:id="37">
    <w:p w14:paraId="00000070" w14:textId="77777777" w:rsidR="001A4188" w:rsidRDefault="00000000">
      <w:pPr>
        <w:pBdr>
          <w:top w:val="nil"/>
          <w:left w:val="nil"/>
          <w:bottom w:val="nil"/>
          <w:right w:val="nil"/>
          <w:between w:val="nil"/>
        </w:pBdr>
        <w:spacing w:line="240" w:lineRule="auto"/>
        <w:rPr>
          <w:color w:val="000000"/>
          <w:sz w:val="20"/>
          <w:szCs w:val="20"/>
        </w:rPr>
      </w:pPr>
      <w:r>
        <w:rPr>
          <w:vertAlign w:val="superscript"/>
        </w:rPr>
        <w:footnoteRef/>
      </w:r>
      <w:r>
        <w:rPr>
          <w:color w:val="000000"/>
          <w:sz w:val="20"/>
          <w:szCs w:val="20"/>
        </w:rPr>
        <w:t xml:space="preserve"> </w:t>
      </w:r>
      <w:r>
        <w:rPr>
          <w:i/>
          <w:iCs/>
          <w:color w:val="000000"/>
          <w:sz w:val="20"/>
          <w:szCs w:val="20"/>
        </w:rPr>
        <w:t xml:space="preserve">See id. </w:t>
      </w:r>
      <w:r>
        <w:rPr>
          <w:color w:val="000000"/>
          <w:sz w:val="20"/>
          <w:szCs w:val="20"/>
        </w:rPr>
        <w:t>(“Placement and accommodation of an individual in temporary, emergency shelters and</w:t>
      </w:r>
    </w:p>
    <w:p w14:paraId="00000071" w14:textId="77777777" w:rsidR="001A4188" w:rsidRDefault="00000000">
      <w:pPr>
        <w:pBdr>
          <w:top w:val="nil"/>
          <w:left w:val="nil"/>
          <w:bottom w:val="nil"/>
          <w:right w:val="nil"/>
          <w:between w:val="nil"/>
        </w:pBdr>
        <w:spacing w:line="240" w:lineRule="auto"/>
        <w:rPr>
          <w:color w:val="000000"/>
          <w:sz w:val="20"/>
          <w:szCs w:val="20"/>
        </w:rPr>
      </w:pPr>
      <w:r>
        <w:rPr>
          <w:color w:val="000000"/>
          <w:sz w:val="20"/>
          <w:szCs w:val="20"/>
        </w:rPr>
        <w:t xml:space="preserve">other buildings and facilities with physical limitations or configurations that require and are permitted to have shared sleeping quarters or shared bathing facilities shall be made in accordance with the individual’s sex. A facility provider may require reasonable assurances or evidence to establish a person’s sex.”); </w:t>
      </w:r>
      <w:r>
        <w:rPr>
          <w:i/>
          <w:iCs/>
          <w:color w:val="000000"/>
          <w:sz w:val="20"/>
          <w:szCs w:val="20"/>
        </w:rPr>
        <w:t>see also</w:t>
      </w:r>
      <w:r>
        <w:rPr>
          <w:color w:val="000000"/>
          <w:sz w:val="20"/>
          <w:szCs w:val="20"/>
        </w:rPr>
        <w:t xml:space="preserve"> 91 Fed. Reg. 22780 n. 10 (“HUD intends to provide maximum deference to grantees and recognizes that some grantees may be</w:t>
      </w:r>
    </w:p>
    <w:p w14:paraId="00000072" w14:textId="77777777" w:rsidR="001A4188" w:rsidRDefault="00000000">
      <w:pPr>
        <w:pBdr>
          <w:top w:val="nil"/>
          <w:left w:val="nil"/>
          <w:bottom w:val="nil"/>
          <w:right w:val="nil"/>
          <w:between w:val="nil"/>
        </w:pBdr>
        <w:spacing w:line="240" w:lineRule="auto"/>
        <w:rPr>
          <w:color w:val="000000"/>
          <w:sz w:val="20"/>
          <w:szCs w:val="20"/>
        </w:rPr>
      </w:pPr>
      <w:r>
        <w:rPr>
          <w:color w:val="000000"/>
          <w:sz w:val="20"/>
          <w:szCs w:val="20"/>
        </w:rPr>
        <w:t>more flexible or stringent in their policies than others for providing evidence of a person’s sex.”).</w:t>
      </w:r>
    </w:p>
  </w:footnote>
  <w:footnote w:id="38">
    <w:p w14:paraId="00000073" w14:textId="77777777" w:rsidR="001A4188" w:rsidRDefault="00000000">
      <w:pPr>
        <w:pBdr>
          <w:top w:val="nil"/>
          <w:left w:val="nil"/>
          <w:bottom w:val="nil"/>
          <w:right w:val="nil"/>
          <w:between w:val="nil"/>
        </w:pBdr>
        <w:spacing w:line="240" w:lineRule="auto"/>
        <w:rPr>
          <w:color w:val="000000"/>
          <w:sz w:val="20"/>
          <w:szCs w:val="20"/>
        </w:rPr>
      </w:pPr>
      <w:r>
        <w:rPr>
          <w:vertAlign w:val="superscript"/>
        </w:rPr>
        <w:footnoteRef/>
      </w:r>
      <w:r>
        <w:rPr>
          <w:color w:val="000000"/>
          <w:sz w:val="20"/>
          <w:szCs w:val="20"/>
        </w:rPr>
        <w:t xml:space="preserve"> See </w:t>
      </w:r>
      <w:r>
        <w:rPr>
          <w:i/>
          <w:iCs/>
          <w:color w:val="000000"/>
          <w:sz w:val="20"/>
          <w:szCs w:val="20"/>
        </w:rPr>
        <w:t>HUD’s Equal Access Rule Suspension Endangers Transgender Women</w:t>
      </w:r>
      <w:r>
        <w:rPr>
          <w:color w:val="000000"/>
          <w:sz w:val="20"/>
          <w:szCs w:val="20"/>
        </w:rPr>
        <w:t xml:space="preserve"> (</w:t>
      </w:r>
      <w:proofErr w:type="spellStart"/>
      <w:r>
        <w:rPr>
          <w:color w:val="000000"/>
          <w:sz w:val="20"/>
          <w:szCs w:val="20"/>
        </w:rPr>
        <w:t>TransVitae</w:t>
      </w:r>
      <w:proofErr w:type="spellEnd"/>
      <w:r>
        <w:rPr>
          <w:color w:val="000000"/>
          <w:sz w:val="20"/>
          <w:szCs w:val="20"/>
        </w:rPr>
        <w:t xml:space="preserve"> Feb. 7, 2025) </w:t>
      </w:r>
      <w:hyperlink r:id="rId15">
        <w:r>
          <w:rPr>
            <w:color w:val="467886"/>
            <w:sz w:val="20"/>
            <w:szCs w:val="20"/>
            <w:u w:val="single"/>
          </w:rPr>
          <w:t>https://www.transvitae.com/huds-equal-access-rule-suspension-endangers-transgender-women/</w:t>
        </w:r>
      </w:hyperlink>
      <w:r>
        <w:rPr>
          <w:color w:val="000000"/>
          <w:sz w:val="20"/>
          <w:szCs w:val="20"/>
        </w:rPr>
        <w:t xml:space="preserve">. </w:t>
      </w:r>
    </w:p>
  </w:footnote>
  <w:footnote w:id="39">
    <w:p w14:paraId="00000074" w14:textId="77777777" w:rsidR="001A4188" w:rsidRDefault="00000000">
      <w:pPr>
        <w:pBdr>
          <w:top w:val="nil"/>
          <w:left w:val="nil"/>
          <w:bottom w:val="nil"/>
          <w:right w:val="nil"/>
          <w:between w:val="nil"/>
        </w:pBdr>
        <w:spacing w:line="240" w:lineRule="auto"/>
        <w:rPr>
          <w:color w:val="000000"/>
          <w:sz w:val="20"/>
          <w:szCs w:val="20"/>
        </w:rPr>
      </w:pPr>
      <w:r>
        <w:rPr>
          <w:vertAlign w:val="superscript"/>
        </w:rPr>
        <w:footnoteRef/>
      </w:r>
      <w:r>
        <w:rPr>
          <w:color w:val="000000"/>
          <w:sz w:val="20"/>
          <w:szCs w:val="20"/>
        </w:rPr>
        <w:t xml:space="preserve"> F.C.C. v. Fox Television Stations, Inc., 556 U.S. 502, 513 (2009).</w:t>
      </w:r>
    </w:p>
  </w:footnote>
  <w:footnote w:id="40">
    <w:p w14:paraId="00000075" w14:textId="77777777" w:rsidR="001A4188" w:rsidRDefault="00000000">
      <w:pPr>
        <w:pBdr>
          <w:top w:val="nil"/>
          <w:left w:val="nil"/>
          <w:bottom w:val="nil"/>
          <w:right w:val="nil"/>
          <w:between w:val="nil"/>
        </w:pBdr>
        <w:spacing w:line="240" w:lineRule="auto"/>
        <w:rPr>
          <w:color w:val="000000"/>
          <w:sz w:val="20"/>
          <w:szCs w:val="20"/>
        </w:rPr>
      </w:pPr>
      <w:r>
        <w:rPr>
          <w:vertAlign w:val="superscript"/>
        </w:rPr>
        <w:footnoteRef/>
      </w:r>
      <w:r>
        <w:rPr>
          <w:color w:val="000000"/>
          <w:sz w:val="20"/>
          <w:szCs w:val="20"/>
        </w:rPr>
        <w:t xml:space="preserve"> </w:t>
      </w:r>
      <w:r>
        <w:rPr>
          <w:i/>
          <w:iCs/>
          <w:color w:val="000000"/>
          <w:sz w:val="20"/>
          <w:szCs w:val="20"/>
        </w:rPr>
        <w:t>Id.</w:t>
      </w:r>
      <w:r>
        <w:rPr>
          <w:color w:val="000000"/>
          <w:sz w:val="20"/>
          <w:szCs w:val="20"/>
        </w:rPr>
        <w:t xml:space="preserve"> at 515.</w:t>
      </w:r>
    </w:p>
  </w:footnote>
  <w:footnote w:id="41">
    <w:p w14:paraId="00000076" w14:textId="77777777" w:rsidR="001A4188" w:rsidRDefault="00000000">
      <w:pPr>
        <w:pBdr>
          <w:top w:val="nil"/>
          <w:left w:val="nil"/>
          <w:bottom w:val="nil"/>
          <w:right w:val="nil"/>
          <w:between w:val="nil"/>
        </w:pBdr>
        <w:spacing w:line="240" w:lineRule="auto"/>
        <w:rPr>
          <w:color w:val="000000"/>
          <w:sz w:val="20"/>
          <w:szCs w:val="20"/>
        </w:rPr>
      </w:pPr>
      <w:r>
        <w:rPr>
          <w:vertAlign w:val="superscript"/>
        </w:rPr>
        <w:footnoteRef/>
      </w:r>
      <w:r>
        <w:rPr>
          <w:color w:val="000000"/>
          <w:sz w:val="20"/>
          <w:szCs w:val="20"/>
        </w:rPr>
        <w:t xml:space="preserve"> 91 Fed. Reg. 22781.</w:t>
      </w:r>
    </w:p>
  </w:footnote>
  <w:footnote w:id="42">
    <w:p w14:paraId="00000077" w14:textId="77777777" w:rsidR="001A4188" w:rsidRDefault="00000000">
      <w:pPr>
        <w:pBdr>
          <w:top w:val="nil"/>
          <w:left w:val="nil"/>
          <w:bottom w:val="nil"/>
          <w:right w:val="nil"/>
          <w:between w:val="nil"/>
        </w:pBdr>
        <w:spacing w:line="240" w:lineRule="auto"/>
        <w:rPr>
          <w:color w:val="000000"/>
          <w:sz w:val="20"/>
          <w:szCs w:val="20"/>
        </w:rPr>
      </w:pPr>
      <w:r>
        <w:rPr>
          <w:vertAlign w:val="superscript"/>
        </w:rPr>
        <w:footnoteRef/>
      </w:r>
      <w:r>
        <w:rPr>
          <w:color w:val="000000"/>
          <w:sz w:val="20"/>
          <w:szCs w:val="20"/>
        </w:rPr>
        <w:t xml:space="preserve"> 81 Fed. Reg. 64772.</w:t>
      </w:r>
    </w:p>
  </w:footnote>
  <w:footnote w:id="43">
    <w:p w14:paraId="00000078" w14:textId="77777777" w:rsidR="001A4188" w:rsidRDefault="00000000">
      <w:pPr>
        <w:pBdr>
          <w:top w:val="nil"/>
          <w:left w:val="nil"/>
          <w:bottom w:val="nil"/>
          <w:right w:val="nil"/>
          <w:between w:val="nil"/>
        </w:pBdr>
        <w:spacing w:line="240" w:lineRule="auto"/>
        <w:rPr>
          <w:color w:val="000000"/>
          <w:sz w:val="20"/>
          <w:szCs w:val="20"/>
        </w:rPr>
      </w:pPr>
      <w:r>
        <w:rPr>
          <w:vertAlign w:val="superscript"/>
        </w:rPr>
        <w:footnoteRef/>
      </w:r>
      <w:r>
        <w:rPr>
          <w:color w:val="000000"/>
          <w:sz w:val="20"/>
          <w:szCs w:val="20"/>
        </w:rPr>
        <w:t xml:space="preserve"> 91 Fed. Reg. 22781.</w:t>
      </w:r>
    </w:p>
  </w:footnote>
  <w:footnote w:id="44">
    <w:p w14:paraId="00000079" w14:textId="77777777" w:rsidR="001A4188" w:rsidRDefault="00000000">
      <w:pPr>
        <w:pBdr>
          <w:top w:val="nil"/>
          <w:left w:val="nil"/>
          <w:bottom w:val="nil"/>
          <w:right w:val="nil"/>
          <w:between w:val="nil"/>
        </w:pBdr>
        <w:spacing w:line="240" w:lineRule="auto"/>
        <w:rPr>
          <w:color w:val="000000"/>
          <w:sz w:val="20"/>
          <w:szCs w:val="20"/>
        </w:rPr>
      </w:pPr>
      <w:r>
        <w:rPr>
          <w:vertAlign w:val="superscript"/>
        </w:rPr>
        <w:footnoteRef/>
      </w:r>
      <w:r>
        <w:rPr>
          <w:color w:val="000000"/>
          <w:sz w:val="20"/>
          <w:szCs w:val="20"/>
        </w:rPr>
        <w:t xml:space="preserve"> </w:t>
      </w:r>
      <w:r>
        <w:rPr>
          <w:i/>
          <w:iCs/>
          <w:color w:val="000000"/>
          <w:sz w:val="20"/>
          <w:szCs w:val="20"/>
        </w:rPr>
        <w:t>Id.</w:t>
      </w:r>
      <w:r>
        <w:rPr>
          <w:color w:val="000000"/>
          <w:sz w:val="20"/>
          <w:szCs w:val="20"/>
        </w:rPr>
        <w:t xml:space="preserve"> </w:t>
      </w:r>
    </w:p>
  </w:footnote>
  <w:footnote w:id="45">
    <w:p w14:paraId="0000007A" w14:textId="77777777" w:rsidR="001A4188" w:rsidRDefault="00000000">
      <w:pPr>
        <w:pBdr>
          <w:top w:val="nil"/>
          <w:left w:val="nil"/>
          <w:bottom w:val="nil"/>
          <w:right w:val="nil"/>
          <w:between w:val="nil"/>
        </w:pBdr>
        <w:spacing w:line="240" w:lineRule="auto"/>
        <w:rPr>
          <w:color w:val="000000"/>
          <w:sz w:val="20"/>
          <w:szCs w:val="20"/>
        </w:rPr>
      </w:pPr>
      <w:r>
        <w:rPr>
          <w:vertAlign w:val="superscript"/>
        </w:rPr>
        <w:footnoteRef/>
      </w:r>
      <w:r>
        <w:rPr>
          <w:color w:val="000000"/>
          <w:sz w:val="20"/>
          <w:szCs w:val="20"/>
        </w:rPr>
        <w:t xml:space="preserve"> </w:t>
      </w:r>
      <w:r>
        <w:rPr>
          <w:i/>
          <w:iCs/>
          <w:color w:val="000000"/>
          <w:sz w:val="20"/>
          <w:szCs w:val="20"/>
        </w:rPr>
        <w:t>Id.</w:t>
      </w:r>
    </w:p>
  </w:footnote>
  <w:footnote w:id="46">
    <w:p w14:paraId="0000007B" w14:textId="77777777" w:rsidR="001A4188" w:rsidRDefault="00000000">
      <w:pPr>
        <w:pBdr>
          <w:top w:val="nil"/>
          <w:left w:val="nil"/>
          <w:bottom w:val="nil"/>
          <w:right w:val="nil"/>
          <w:between w:val="nil"/>
        </w:pBdr>
        <w:spacing w:line="240" w:lineRule="auto"/>
        <w:rPr>
          <w:color w:val="000000"/>
          <w:sz w:val="20"/>
          <w:szCs w:val="20"/>
        </w:rPr>
      </w:pPr>
      <w:r>
        <w:rPr>
          <w:vertAlign w:val="superscript"/>
        </w:rPr>
        <w:footnoteRef/>
      </w:r>
      <w:r>
        <w:rPr>
          <w:color w:val="000000"/>
          <w:sz w:val="20"/>
          <w:szCs w:val="20"/>
        </w:rPr>
        <w:t xml:space="preserve"> 81 Fed. Reg. 64774.</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EA901A0"/>
    <w:multiLevelType w:val="multilevel"/>
    <w:tmpl w:val="EFE83FC4"/>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91103627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4188"/>
    <w:rsid w:val="000678E8"/>
    <w:rsid w:val="001A4188"/>
    <w:rsid w:val="002055F9"/>
    <w:rsid w:val="0054710C"/>
    <w:rsid w:val="00BE58D6"/>
    <w:rsid w:val="00D309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0C90622D"/>
  <w15:docId w15:val="{F0017305-89A9-4F6C-ABB5-B13CF0DDFE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 w:eastAsia="en-US" w:bidi="ar-SA"/>
      </w:rPr>
    </w:rPrDefault>
    <w:pPrDefault>
      <w:pPr>
        <w:spacing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spacing w:before="240" w:after="240"/>
      <w:ind w:left="720" w:hanging="360"/>
      <w:outlineLvl w:val="0"/>
    </w:pPr>
  </w:style>
  <w:style w:type="paragraph" w:styleId="Heading2">
    <w:name w:val="heading 2"/>
    <w:basedOn w:val="Normal"/>
    <w:next w:val="Normal"/>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uiPriority w:val="9"/>
    <w:semiHidden/>
    <w:unhideWhenUsed/>
    <w:qFormat/>
    <w:pPr>
      <w:keepNext/>
      <w:keepLines/>
      <w:spacing w:before="80" w:after="40"/>
      <w:outlineLvl w:val="3"/>
    </w:pPr>
    <w:rPr>
      <w:i/>
      <w:iCs/>
      <w:color w:val="0F4761"/>
    </w:rPr>
  </w:style>
  <w:style w:type="paragraph" w:styleId="Heading5">
    <w:name w:val="heading 5"/>
    <w:basedOn w:val="Normal"/>
    <w:next w:val="Normal"/>
    <w:uiPriority w:val="9"/>
    <w:semiHidden/>
    <w:unhideWhenUsed/>
    <w:qFormat/>
    <w:pPr>
      <w:keepNext/>
      <w:keepLines/>
      <w:spacing w:before="80" w:after="40"/>
      <w:outlineLvl w:val="4"/>
    </w:pPr>
    <w:rPr>
      <w:color w:val="0F4761"/>
    </w:rPr>
  </w:style>
  <w:style w:type="paragraph" w:styleId="Heading6">
    <w:name w:val="heading 6"/>
    <w:basedOn w:val="Normal"/>
    <w:next w:val="Normal"/>
    <w:uiPriority w:val="9"/>
    <w:semiHidden/>
    <w:unhideWhenUsed/>
    <w:qFormat/>
    <w:pPr>
      <w:keepNext/>
      <w:keepLines/>
      <w:spacing w:before="40"/>
      <w:outlineLvl w:val="5"/>
    </w:pPr>
    <w:rPr>
      <w:i/>
      <w:iCs/>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80" w:line="240" w:lineRule="auto"/>
    </w:pPr>
    <w:rPr>
      <w:rFonts w:ascii="Play" w:eastAsia="Play" w:hAnsi="Play" w:cs="Play"/>
      <w:sz w:val="56"/>
      <w:szCs w:val="56"/>
    </w:rPr>
  </w:style>
  <w:style w:type="paragraph" w:styleId="Subtitle">
    <w:name w:val="Subtitle"/>
    <w:basedOn w:val="Normal"/>
    <w:next w:val="Normal"/>
    <w:uiPriority w:val="11"/>
    <w:qFormat/>
    <w:rPr>
      <w:color w:val="595959"/>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notes.xml.rels><?xml version="1.0" encoding="UTF-8" standalone="yes"?>
<Relationships xmlns="http://schemas.openxmlformats.org/package/2006/relationships"><Relationship Id="rId8" Type="http://schemas.openxmlformats.org/officeDocument/2006/relationships/hyperlink" Target="https://williamsinstitute.law.ucla.edu/wp-content/uploads/TGI-QOL-LA-Nov-2023.pdf" TargetMode="External"/><Relationship Id="rId13" Type="http://schemas.openxmlformats.org/officeDocument/2006/relationships/hyperlink" Target="https://www.sageusa.org/when-shelter-becomes-a-struggle-the-human-cost-of-equal-access-rule-rollback/" TargetMode="External"/><Relationship Id="rId3" Type="http://schemas.openxmlformats.org/officeDocument/2006/relationships/hyperlink" Target="https://tinyurl.com/2rdr6awu" TargetMode="External"/><Relationship Id="rId7" Type="http://schemas.openxmlformats.org/officeDocument/2006/relationships/hyperlink" Target="https://www.thetrevorproject.org/wp-content/uploads/2021/12/Intersex-Youth-Mental-Health-Report.pdf" TargetMode="External"/><Relationship Id="rId12" Type="http://schemas.openxmlformats.org/officeDocument/2006/relationships/hyperlink" Target="https://medlineplus.gov/genetics/condition/5-alpha-reductase-deficiency/" TargetMode="External"/><Relationship Id="rId2" Type="http://schemas.openxmlformats.org/officeDocument/2006/relationships/hyperlink" Target="https://tinyurl.com/y24mbapn" TargetMode="External"/><Relationship Id="rId1" Type="http://schemas.openxmlformats.org/officeDocument/2006/relationships/hyperlink" Target="https://interactadvocates.org/faq/" TargetMode="External"/><Relationship Id="rId6" Type="http://schemas.openxmlformats.org/officeDocument/2006/relationships/hyperlink" Target="https://williamsinstitute.law.ucla.edu/wp-content/uploads/LGBT-Homelessness-May-2020.pdf" TargetMode="External"/><Relationship Id="rId11" Type="http://schemas.openxmlformats.org/officeDocument/2006/relationships/hyperlink" Target="https://stateline.org/2026/04/28/trump-administration-proposes-rolling-back-gender-identity-protections-in-federal-housing/" TargetMode="External"/><Relationship Id="rId5" Type="http://schemas.openxmlformats.org/officeDocument/2006/relationships/hyperlink" Target="https://endhomelessness.org/blog/how-the-equal-access-rule-can-protect-trans-people-and-sex-workers/" TargetMode="External"/><Relationship Id="rId15" Type="http://schemas.openxmlformats.org/officeDocument/2006/relationships/hyperlink" Target="https://www.transvitae.com/huds-equal-access-rule-suspension-endangers-transgender-women/" TargetMode="External"/><Relationship Id="rId10" Type="http://schemas.openxmlformats.org/officeDocument/2006/relationships/hyperlink" Target="https://cdn.americanprogress.org/content/uploads/2020/10/02103624/LGBTQpoll-report.pdf" TargetMode="External"/><Relationship Id="rId4" Type="http://schemas.openxmlformats.org/officeDocument/2006/relationships/hyperlink" Target="https://endhomelessness.org/resources/research-and-analysis/transgender-homeless-adults-unsheltered-homelessness-what-the-data-tell-us/" TargetMode="External"/><Relationship Id="rId9" Type="http://schemas.openxmlformats.org/officeDocument/2006/relationships/hyperlink" Target="https://cdn.americanprogress.org/wp-content/uploads/2016/01/06113001/HomelessTransgender.pdf" TargetMode="External"/><Relationship Id="rId14" Type="http://schemas.openxmlformats.org/officeDocument/2006/relationships/hyperlink" Target="https://endhomelessness.org/blog/how-the-equal-access-rule-can-protect-trans-people-and-sex-worke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d20O8Rh35kxb77trFVD40I+xAfw==">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11</Pages>
  <Words>3419</Words>
  <Characters>19390</Characters>
  <Application>Microsoft Office Word</Application>
  <DocSecurity>0</DocSecurity>
  <Lines>289</Lines>
  <Paragraphs>89</Paragraphs>
  <ScaleCrop>false</ScaleCrop>
  <Company/>
  <LinksUpToDate>false</LinksUpToDate>
  <CharactersWithSpaces>22720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4</cp:revision>
  <dcterms:created xsi:type="dcterms:W3CDTF">2026-06-10T15:10:00Z</dcterms:created>
  <dcterms:modified xsi:type="dcterms:W3CDTF">2026-06-10T15:24:00Z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zotero-version="6.0.22m4"&gt;&lt;session id="TO1Tl8gE"/&gt;&lt;style id="http://juris-m.github.io/styles/jm-indigobook-law-review" locale="en-US" hasBibliography="1" bibliographyStyleHasBeenSet="0"/&gt;&lt;prefs&gt;&lt;pref name="citationTransliteration" v</vt:lpwstr>
  </property>
  <property fmtid="{D5CDD505-2E9C-101B-9397-08002B2CF9AE}" pid="3" name="ZOTERO_PREF_2">
    <vt:lpwstr>alue=""/&gt;&lt;pref name="citationTranslation" value=""/&gt;&lt;pref name="citationSort" value=""/&gt;&lt;pref name="citationLangPrefsPersons" value="orig"/&gt;&lt;pref name="citationLangPrefsInstitutions" value="orig"/&gt;&lt;pref name="citationLangPrefsTitles" value="orig"/&gt;&lt;pref n</vt:lpwstr>
  </property>
  <property fmtid="{D5CDD505-2E9C-101B-9397-08002B2CF9AE}" pid="4" name="ZOTERO_PREF_3">
    <vt:lpwstr>ame="citationLangPrefsJournals" value="orig"/&gt;&lt;pref name="citationLangPrefsPublishers" value="orig"/&gt;&lt;pref name="citationLangPrefsPlaces" value="orig"/&gt;&lt;pref name="citationAffixes" value="|||||||||||||||||||||||||||||||||||||||||||||||"/&gt;&lt;pref name="extra</vt:lpwstr>
  </property>
  <property fmtid="{D5CDD505-2E9C-101B-9397-08002B2CF9AE}" pid="5" name="ZOTERO_PREF_4">
    <vt:lpwstr>ctingLibraryName" value="No group selected"/&gt;&lt;pref name="fieldType" value="Field"/&gt;&lt;pref name="noteType" value="1"/&gt;&lt;/prefs&gt;&lt;/data&gt;</vt:lpwstr>
  </property>
</Properties>
</file>